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3"/>
        <w:gridCol w:w="7867"/>
      </w:tblGrid>
      <w:tr w:rsidR="006E79FD">
        <w:trPr>
          <w:cantSplit/>
        </w:trPr>
        <w:tc>
          <w:tcPr>
            <w:tcW w:w="9210" w:type="dxa"/>
            <w:gridSpan w:val="2"/>
            <w:tcBorders>
              <w:bottom w:val="single" w:sz="4" w:space="0" w:color="auto"/>
            </w:tcBorders>
            <w:shd w:val="clear" w:color="auto" w:fill="CCCCCC"/>
            <w:tcMar>
              <w:top w:w="113" w:type="dxa"/>
              <w:bottom w:w="113" w:type="dxa"/>
            </w:tcMar>
          </w:tcPr>
          <w:p w:rsidR="006E79FD" w:rsidRDefault="00F03E3D">
            <w:pPr>
              <w:pStyle w:val="Kop4"/>
              <w:tabs>
                <w:tab w:val="clear" w:pos="1276"/>
              </w:tabs>
              <w:rPr>
                <w:rFonts w:ascii="Calibri Light" w:hAnsi="Calibri Light"/>
                <w:b w:val="0"/>
                <w:bCs w:val="0"/>
                <w:sz w:val="22"/>
                <w:szCs w:val="22"/>
              </w:rPr>
            </w:pPr>
            <w:r>
              <w:rPr>
                <w:rFonts w:ascii="Calibri Light" w:hAnsi="Calibri Light"/>
                <w:sz w:val="22"/>
                <w:szCs w:val="22"/>
              </w:rPr>
              <w:t>Memo</w:t>
            </w:r>
          </w:p>
        </w:tc>
      </w:tr>
      <w:tr w:rsidR="006E79FD">
        <w:tc>
          <w:tcPr>
            <w:tcW w:w="1204" w:type="dxa"/>
            <w:tcBorders>
              <w:left w:val="nil"/>
              <w:bottom w:val="nil"/>
              <w:right w:val="nil"/>
            </w:tcBorders>
            <w:shd w:val="clear" w:color="auto" w:fill="FFFFFF"/>
            <w:tcMar>
              <w:top w:w="113" w:type="dxa"/>
              <w:bottom w:w="113" w:type="dxa"/>
            </w:tcMar>
          </w:tcPr>
          <w:p w:rsidR="006E79FD" w:rsidRDefault="00F03E3D">
            <w:pPr>
              <w:tabs>
                <w:tab w:val="right" w:pos="1418"/>
              </w:tabs>
              <w:rPr>
                <w:rFonts w:ascii="Calibri Light" w:hAnsi="Calibri Light"/>
                <w:sz w:val="22"/>
                <w:szCs w:val="22"/>
              </w:rPr>
            </w:pPr>
            <w:r>
              <w:rPr>
                <w:rFonts w:ascii="Calibri Light" w:hAnsi="Calibri Light"/>
                <w:sz w:val="22"/>
                <w:szCs w:val="22"/>
              </w:rPr>
              <w:t>Aan:</w:t>
            </w:r>
          </w:p>
        </w:tc>
        <w:tc>
          <w:tcPr>
            <w:tcW w:w="8006" w:type="dxa"/>
            <w:tcBorders>
              <w:left w:val="nil"/>
              <w:bottom w:val="nil"/>
              <w:right w:val="nil"/>
            </w:tcBorders>
            <w:shd w:val="clear" w:color="auto" w:fill="FFFFFF"/>
            <w:tcMar>
              <w:top w:w="57" w:type="dxa"/>
              <w:bottom w:w="57" w:type="dxa"/>
            </w:tcMar>
          </w:tcPr>
          <w:p w:rsidR="006E79FD" w:rsidRDefault="00F03E3D">
            <w:pPr>
              <w:rPr>
                <w:rFonts w:ascii="Calibri Light" w:hAnsi="Calibri Light"/>
                <w:sz w:val="22"/>
                <w:szCs w:val="22"/>
              </w:rPr>
            </w:pPr>
            <w:r>
              <w:rPr>
                <w:rFonts w:ascii="Calibri Light" w:hAnsi="Calibri Light"/>
                <w:sz w:val="22"/>
                <w:szCs w:val="22"/>
              </w:rPr>
              <w:t>College van B&amp;W</w:t>
            </w:r>
            <w:bookmarkStart w:id="0" w:name="_GoBack"/>
            <w:bookmarkEnd w:id="0"/>
          </w:p>
        </w:tc>
      </w:tr>
      <w:tr w:rsidR="006E79FD">
        <w:tc>
          <w:tcPr>
            <w:tcW w:w="1204" w:type="dxa"/>
            <w:tcBorders>
              <w:top w:val="nil"/>
              <w:left w:val="nil"/>
              <w:bottom w:val="nil"/>
              <w:right w:val="nil"/>
            </w:tcBorders>
            <w:shd w:val="clear" w:color="auto" w:fill="FFFFFF"/>
            <w:tcMar>
              <w:top w:w="113" w:type="dxa"/>
              <w:bottom w:w="113" w:type="dxa"/>
            </w:tcMar>
          </w:tcPr>
          <w:p w:rsidR="006E79FD" w:rsidRDefault="00F03E3D">
            <w:pPr>
              <w:tabs>
                <w:tab w:val="right" w:pos="1418"/>
              </w:tabs>
              <w:rPr>
                <w:rFonts w:ascii="Calibri Light" w:hAnsi="Calibri Light"/>
                <w:sz w:val="22"/>
                <w:szCs w:val="22"/>
              </w:rPr>
            </w:pPr>
            <w:r>
              <w:rPr>
                <w:rFonts w:ascii="Calibri Light" w:hAnsi="Calibri Light"/>
                <w:sz w:val="22"/>
                <w:szCs w:val="22"/>
              </w:rPr>
              <w:t>C.C.:</w:t>
            </w:r>
          </w:p>
        </w:tc>
        <w:tc>
          <w:tcPr>
            <w:tcW w:w="8006" w:type="dxa"/>
            <w:tcBorders>
              <w:top w:val="nil"/>
              <w:left w:val="nil"/>
              <w:bottom w:val="nil"/>
              <w:right w:val="nil"/>
            </w:tcBorders>
            <w:shd w:val="clear" w:color="auto" w:fill="FFFFFF"/>
            <w:tcMar>
              <w:top w:w="113" w:type="dxa"/>
              <w:bottom w:w="113" w:type="dxa"/>
            </w:tcMar>
          </w:tcPr>
          <w:p w:rsidR="006E79FD" w:rsidRDefault="006E79FD">
            <w:pPr>
              <w:rPr>
                <w:rFonts w:ascii="Calibri Light" w:hAnsi="Calibri Light"/>
                <w:sz w:val="22"/>
                <w:szCs w:val="22"/>
              </w:rPr>
            </w:pPr>
          </w:p>
        </w:tc>
      </w:tr>
      <w:tr w:rsidR="006E79FD">
        <w:tc>
          <w:tcPr>
            <w:tcW w:w="1204" w:type="dxa"/>
            <w:tcBorders>
              <w:top w:val="nil"/>
              <w:left w:val="nil"/>
              <w:bottom w:val="single" w:sz="4" w:space="0" w:color="auto"/>
              <w:right w:val="nil"/>
            </w:tcBorders>
            <w:shd w:val="clear" w:color="auto" w:fill="FFFFFF"/>
            <w:tcMar>
              <w:top w:w="113" w:type="dxa"/>
              <w:bottom w:w="113" w:type="dxa"/>
            </w:tcMar>
          </w:tcPr>
          <w:p w:rsidR="006E79FD" w:rsidRDefault="00F03E3D">
            <w:pPr>
              <w:tabs>
                <w:tab w:val="right" w:pos="1418"/>
              </w:tabs>
              <w:rPr>
                <w:rFonts w:ascii="Calibri Light" w:hAnsi="Calibri Light"/>
                <w:sz w:val="22"/>
                <w:szCs w:val="22"/>
              </w:rPr>
            </w:pPr>
            <w:r>
              <w:rPr>
                <w:rFonts w:ascii="Calibri Light" w:hAnsi="Calibri Light"/>
                <w:sz w:val="22"/>
                <w:szCs w:val="22"/>
              </w:rPr>
              <w:t>Van:</w:t>
            </w:r>
          </w:p>
        </w:tc>
        <w:tc>
          <w:tcPr>
            <w:tcW w:w="8006" w:type="dxa"/>
            <w:tcBorders>
              <w:top w:val="nil"/>
              <w:left w:val="nil"/>
              <w:bottom w:val="single" w:sz="4" w:space="0" w:color="auto"/>
              <w:right w:val="nil"/>
            </w:tcBorders>
            <w:shd w:val="clear" w:color="auto" w:fill="FFFFFF"/>
            <w:tcMar>
              <w:top w:w="113" w:type="dxa"/>
              <w:bottom w:w="113" w:type="dxa"/>
            </w:tcMar>
          </w:tcPr>
          <w:p w:rsidR="006E79FD" w:rsidRDefault="00F03E3D">
            <w:pPr>
              <w:rPr>
                <w:rFonts w:ascii="Calibri Light" w:hAnsi="Calibri Light"/>
                <w:sz w:val="22"/>
                <w:szCs w:val="22"/>
              </w:rPr>
            </w:pPr>
            <w:r>
              <w:rPr>
                <w:rFonts w:ascii="Calibri Light" w:hAnsi="Calibri Light"/>
                <w:sz w:val="22"/>
                <w:szCs w:val="22"/>
              </w:rPr>
              <w:t>Maurits van de Geijn</w:t>
            </w:r>
          </w:p>
        </w:tc>
      </w:tr>
      <w:tr w:rsidR="006E79FD">
        <w:tc>
          <w:tcPr>
            <w:tcW w:w="1204" w:type="dxa"/>
            <w:tcBorders>
              <w:top w:val="single" w:sz="4" w:space="0" w:color="auto"/>
              <w:left w:val="nil"/>
              <w:bottom w:val="nil"/>
              <w:right w:val="nil"/>
            </w:tcBorders>
            <w:shd w:val="clear" w:color="auto" w:fill="FFFFFF"/>
            <w:tcMar>
              <w:top w:w="113" w:type="dxa"/>
              <w:bottom w:w="113" w:type="dxa"/>
            </w:tcMar>
          </w:tcPr>
          <w:p w:rsidR="006E79FD" w:rsidRDefault="00F03E3D">
            <w:pPr>
              <w:tabs>
                <w:tab w:val="right" w:pos="1418"/>
              </w:tabs>
              <w:spacing w:line="360" w:lineRule="auto"/>
              <w:rPr>
                <w:rFonts w:ascii="Calibri Light" w:hAnsi="Calibri Light"/>
                <w:sz w:val="22"/>
                <w:szCs w:val="22"/>
              </w:rPr>
            </w:pPr>
            <w:r>
              <w:rPr>
                <w:rFonts w:ascii="Calibri Light" w:hAnsi="Calibri Light"/>
                <w:sz w:val="22"/>
                <w:szCs w:val="22"/>
              </w:rPr>
              <w:t>Datum:</w:t>
            </w:r>
          </w:p>
        </w:tc>
        <w:tc>
          <w:tcPr>
            <w:tcW w:w="8006" w:type="dxa"/>
            <w:tcBorders>
              <w:top w:val="single" w:sz="4" w:space="0" w:color="auto"/>
              <w:left w:val="nil"/>
              <w:bottom w:val="nil"/>
              <w:right w:val="nil"/>
            </w:tcBorders>
            <w:shd w:val="clear" w:color="auto" w:fill="FFFFFF"/>
            <w:tcMar>
              <w:top w:w="113" w:type="dxa"/>
              <w:bottom w:w="113" w:type="dxa"/>
            </w:tcMar>
          </w:tcPr>
          <w:p w:rsidR="006E79FD" w:rsidRDefault="00F03E3D">
            <w:pPr>
              <w:spacing w:line="360" w:lineRule="auto"/>
              <w:rPr>
                <w:rFonts w:ascii="Calibri Light" w:hAnsi="Calibri Light"/>
                <w:sz w:val="22"/>
                <w:szCs w:val="22"/>
              </w:rPr>
            </w:pPr>
            <w:r>
              <w:rPr>
                <w:rFonts w:ascii="Calibri Light" w:hAnsi="Calibri Light"/>
                <w:sz w:val="22"/>
                <w:szCs w:val="22"/>
              </w:rPr>
              <w:t>12-04-2018</w:t>
            </w:r>
          </w:p>
        </w:tc>
      </w:tr>
      <w:tr w:rsidR="006E79FD">
        <w:tc>
          <w:tcPr>
            <w:tcW w:w="1204" w:type="dxa"/>
            <w:tcBorders>
              <w:top w:val="nil"/>
              <w:left w:val="nil"/>
              <w:bottom w:val="nil"/>
              <w:right w:val="nil"/>
            </w:tcBorders>
            <w:shd w:val="clear" w:color="auto" w:fill="FFFFFF"/>
            <w:tcMar>
              <w:top w:w="113" w:type="dxa"/>
              <w:bottom w:w="113" w:type="dxa"/>
            </w:tcMar>
          </w:tcPr>
          <w:p w:rsidR="006E79FD" w:rsidRDefault="00F03E3D">
            <w:pPr>
              <w:tabs>
                <w:tab w:val="right" w:pos="1418"/>
              </w:tabs>
              <w:spacing w:line="360" w:lineRule="auto"/>
              <w:rPr>
                <w:rFonts w:ascii="Calibri Light" w:hAnsi="Calibri Light"/>
                <w:sz w:val="22"/>
                <w:szCs w:val="22"/>
              </w:rPr>
            </w:pPr>
            <w:r>
              <w:rPr>
                <w:rFonts w:ascii="Calibri Light" w:hAnsi="Calibri Light"/>
                <w:sz w:val="22"/>
                <w:szCs w:val="22"/>
              </w:rPr>
              <w:t>Kenmerk:</w:t>
            </w:r>
          </w:p>
        </w:tc>
        <w:tc>
          <w:tcPr>
            <w:tcW w:w="8006" w:type="dxa"/>
            <w:tcBorders>
              <w:top w:val="nil"/>
              <w:left w:val="nil"/>
              <w:bottom w:val="nil"/>
              <w:right w:val="nil"/>
            </w:tcBorders>
            <w:shd w:val="clear" w:color="auto" w:fill="FFFFFF"/>
            <w:tcMar>
              <w:top w:w="113" w:type="dxa"/>
              <w:bottom w:w="113" w:type="dxa"/>
            </w:tcMar>
          </w:tcPr>
          <w:p w:rsidR="006E79FD" w:rsidRDefault="00F03E3D">
            <w:pPr>
              <w:spacing w:line="360" w:lineRule="auto"/>
              <w:rPr>
                <w:rFonts w:ascii="Calibri Light" w:hAnsi="Calibri Light"/>
                <w:sz w:val="22"/>
                <w:szCs w:val="22"/>
              </w:rPr>
            </w:pPr>
            <w:r>
              <w:rPr>
                <w:rFonts w:ascii="Calibri Light" w:hAnsi="Calibri Light"/>
                <w:sz w:val="22"/>
                <w:szCs w:val="22"/>
              </w:rPr>
              <w:t>1004348</w:t>
            </w:r>
          </w:p>
        </w:tc>
      </w:tr>
      <w:tr w:rsidR="006E79FD">
        <w:tc>
          <w:tcPr>
            <w:tcW w:w="1204" w:type="dxa"/>
            <w:tcBorders>
              <w:top w:val="nil"/>
              <w:left w:val="nil"/>
              <w:right w:val="nil"/>
            </w:tcBorders>
            <w:shd w:val="clear" w:color="auto" w:fill="FFFFFF"/>
            <w:tcMar>
              <w:top w:w="113" w:type="dxa"/>
              <w:bottom w:w="113" w:type="dxa"/>
            </w:tcMar>
          </w:tcPr>
          <w:p w:rsidR="006E79FD" w:rsidRDefault="00F03E3D">
            <w:pPr>
              <w:tabs>
                <w:tab w:val="right" w:pos="1418"/>
              </w:tabs>
              <w:spacing w:line="360" w:lineRule="auto"/>
              <w:rPr>
                <w:rFonts w:ascii="Calibri Light" w:hAnsi="Calibri Light"/>
                <w:sz w:val="22"/>
                <w:szCs w:val="22"/>
              </w:rPr>
            </w:pPr>
            <w:r>
              <w:rPr>
                <w:rFonts w:ascii="Calibri Light" w:hAnsi="Calibri Light"/>
                <w:sz w:val="22"/>
                <w:szCs w:val="22"/>
              </w:rPr>
              <w:t>Betreft:</w:t>
            </w:r>
          </w:p>
        </w:tc>
        <w:tc>
          <w:tcPr>
            <w:tcW w:w="8006" w:type="dxa"/>
            <w:tcBorders>
              <w:top w:val="nil"/>
              <w:left w:val="nil"/>
              <w:right w:val="nil"/>
            </w:tcBorders>
            <w:shd w:val="clear" w:color="auto" w:fill="FFFFFF"/>
            <w:tcMar>
              <w:top w:w="113" w:type="dxa"/>
              <w:bottom w:w="113" w:type="dxa"/>
            </w:tcMar>
          </w:tcPr>
          <w:p w:rsidR="006E79FD" w:rsidRDefault="00F03E3D">
            <w:pPr>
              <w:spacing w:line="360" w:lineRule="auto"/>
              <w:rPr>
                <w:rFonts w:ascii="Calibri Light" w:hAnsi="Calibri Light"/>
                <w:sz w:val="22"/>
                <w:szCs w:val="22"/>
              </w:rPr>
            </w:pPr>
            <w:r>
              <w:rPr>
                <w:rFonts w:ascii="Calibri Light" w:hAnsi="Calibri Light"/>
                <w:sz w:val="22"/>
                <w:szCs w:val="22"/>
              </w:rPr>
              <w:t>Financiële uitgangssituatie begroting 2019</w:t>
            </w:r>
          </w:p>
        </w:tc>
      </w:tr>
    </w:tbl>
    <w:p w:rsidR="006E79FD" w:rsidRDefault="006E79FD">
      <w:pPr>
        <w:rPr>
          <w:rFonts w:ascii="Calibri Light" w:hAnsi="Calibri Light"/>
          <w:sz w:val="22"/>
          <w:szCs w:val="22"/>
        </w:rPr>
        <w:sectPr w:rsidR="006E79FD">
          <w:headerReference w:type="default" r:id="rId7"/>
          <w:pgSz w:w="11906" w:h="16838" w:code="9"/>
          <w:pgMar w:top="1134" w:right="1418" w:bottom="567" w:left="1418" w:header="567" w:footer="284" w:gutter="0"/>
          <w:paperSrc w:first="1" w:other="1"/>
          <w:cols w:space="708"/>
          <w:docGrid w:linePitch="313"/>
        </w:sectPr>
      </w:pPr>
    </w:p>
    <w:p w:rsidR="006E79FD" w:rsidRDefault="00F03E3D">
      <w:pPr>
        <w:pStyle w:val="Geenafstand"/>
        <w:rPr>
          <w:rFonts w:ascii="Calibri Light" w:hAnsi="Calibri Light"/>
          <w:b/>
          <w:i/>
        </w:rPr>
      </w:pPr>
      <w:r>
        <w:rPr>
          <w:rFonts w:ascii="Calibri Light" w:hAnsi="Calibri Light"/>
          <w:b/>
          <w:i/>
        </w:rPr>
        <w:t>Samenvatting</w:t>
      </w:r>
    </w:p>
    <w:p w:rsidR="006E79FD" w:rsidRDefault="006E79FD">
      <w:pPr>
        <w:pStyle w:val="Geenafstand"/>
        <w:rPr>
          <w:rFonts w:ascii="Calibri Light" w:hAnsi="Calibri Light"/>
        </w:rPr>
      </w:pPr>
    </w:p>
    <w:p w:rsidR="006E79FD" w:rsidRDefault="00F03E3D">
      <w:pPr>
        <w:pStyle w:val="Geenafstand"/>
        <w:rPr>
          <w:rFonts w:ascii="Calibri Light" w:hAnsi="Calibri Light"/>
        </w:rPr>
      </w:pPr>
      <w:r>
        <w:rPr>
          <w:rFonts w:ascii="Calibri Light" w:hAnsi="Calibri Light"/>
        </w:rPr>
        <w:t xml:space="preserve">Bijgaand is de huidige financiële uitgangssituatie opgenomen richting de begroting 2019. Het is een </w:t>
      </w:r>
      <w:proofErr w:type="gramStart"/>
      <w:r>
        <w:rPr>
          <w:rFonts w:ascii="Calibri Light" w:hAnsi="Calibri Light"/>
        </w:rPr>
        <w:t>eerste</w:t>
      </w:r>
      <w:proofErr w:type="gramEnd"/>
      <w:r>
        <w:rPr>
          <w:rFonts w:ascii="Calibri Light" w:hAnsi="Calibri Light"/>
        </w:rPr>
        <w:t xml:space="preserve"> perspectief op hoofdlijnen. Wij realiseren ons dat het perspectief geen volledig inzicht geeft in alle ontwi</w:t>
      </w:r>
      <w:r>
        <w:rPr>
          <w:rFonts w:ascii="Calibri Light" w:hAnsi="Calibri Light"/>
        </w:rPr>
        <w:t>kkelingen. Ook wordt nog geen rekening gehouden met de input voor de bestuursovereenkomst, zogeheten enveloppe gelden, de zogeheten stroppenpot voor jeugd en alle toekomstig ontwikkelingen die op ons afkomen. Het is belangrijk om te constateren dat we voor</w:t>
      </w:r>
      <w:r>
        <w:rPr>
          <w:rFonts w:ascii="Calibri Light" w:hAnsi="Calibri Light"/>
        </w:rPr>
        <w:t xml:space="preserve"> een forse financiële opgave staan. Deze financiële opgave valt terug te herleiden naar 2 onderwerpen. Een structureel tekort (bij ongewijzigd beleid en gelijkblijvende ondersteuningsvraag) binnen het sociaal domein van afgerond € 2 miljoen en het wegvalle</w:t>
      </w:r>
      <w:r>
        <w:rPr>
          <w:rFonts w:ascii="Calibri Light" w:hAnsi="Calibri Light"/>
        </w:rPr>
        <w:t>n van structurele precario opbrengsten ter hoogte van € 1,3 miljoen vanaf 2022. We verwachten dat dit bedrag binnen het sociaal domein het maximale tekort is, en naar verwachting lager wordt bij toepassing van een nieuw verdeelmodel vanaf 2020. De VNG vree</w:t>
      </w:r>
      <w:r>
        <w:rPr>
          <w:rFonts w:ascii="Calibri Light" w:hAnsi="Calibri Light"/>
        </w:rPr>
        <w:t>st dat gemeenten de precario problematiek zelf moeten oplossen, ondanks toezeggingen vanuit het Rijk. Dit kan door bijvoorbeeld het verhogen van andere (algemene) belastingen of heffingen, het doorvoeren van bezuinigingen of het verschuiven van de beleidsp</w:t>
      </w:r>
      <w:r>
        <w:rPr>
          <w:rFonts w:ascii="Calibri Light" w:hAnsi="Calibri Light"/>
        </w:rPr>
        <w:t>rioriteiten. Het is daarom van belang dat deze informatie bij de coalitie onderhandelaars bekend is voor het opstellen van de bestuursovereenkomst 2019 - 2022. Uiteraard kunnen en willen we daarbij ambtelijk ondersteunen door informatie toe te lichten, vra</w:t>
      </w:r>
      <w:r>
        <w:rPr>
          <w:rFonts w:ascii="Calibri Light" w:hAnsi="Calibri Light"/>
        </w:rPr>
        <w:t>gen te beantwoorden en te adviseren over wensen, beelden en onderhandelingsresultaten.</w:t>
      </w:r>
    </w:p>
    <w:p w:rsidR="006E79FD" w:rsidRDefault="006E79FD">
      <w:pPr>
        <w:pStyle w:val="Geenafstand"/>
        <w:rPr>
          <w:rFonts w:ascii="Calibri Light" w:hAnsi="Calibri Light"/>
          <w:i/>
        </w:rPr>
      </w:pPr>
    </w:p>
    <w:p w:rsidR="006E79FD" w:rsidRDefault="00F03E3D">
      <w:pPr>
        <w:rPr>
          <w:rFonts w:ascii="Calibri Light" w:hAnsi="Calibri Light"/>
          <w:sz w:val="22"/>
          <w:szCs w:val="22"/>
        </w:rPr>
      </w:pPr>
      <w:r>
        <w:rPr>
          <w:rFonts w:ascii="Calibri Light" w:hAnsi="Calibri Light"/>
          <w:sz w:val="22"/>
          <w:szCs w:val="22"/>
        </w:rPr>
        <w:t>Het structureel tekort naar boven afgerond bedraagt minimaal € 2 miljoen. Het college heeft in de begroting 2018 aangegeven op zoek te gaan naar mogelijkheden om te kom</w:t>
      </w:r>
      <w:r>
        <w:rPr>
          <w:rFonts w:ascii="Calibri Light" w:hAnsi="Calibri Light"/>
          <w:sz w:val="22"/>
          <w:szCs w:val="22"/>
        </w:rPr>
        <w:t>en tot een meerjarig sluitende begroting. Hiervoor is een projectgroep ingesteld. Deze projectgroep heeft de opdracht voor de zomer 2018 een plan van aanpak op te stellen om te komen tot een meerjarig sluitende begroting. We willen dit als gemeente zelf, m</w:t>
      </w:r>
      <w:r>
        <w:rPr>
          <w:rFonts w:ascii="Calibri Light" w:hAnsi="Calibri Light"/>
          <w:sz w:val="22"/>
          <w:szCs w:val="22"/>
        </w:rPr>
        <w:t>aar ook Provincie Gelderland zal vanuit haar toezichthoudende rol constateren dat onze begroting 2019 niet structureel meer in evenwicht is. De provincie zal minimaal van ons een plan van aanpak verwachten hoe we weer komen tot een structureel sluitende me</w:t>
      </w:r>
      <w:r>
        <w:rPr>
          <w:rFonts w:ascii="Calibri Light" w:hAnsi="Calibri Light"/>
          <w:sz w:val="22"/>
          <w:szCs w:val="22"/>
        </w:rPr>
        <w:t>erjarenbegroting. Daar gaan we vast mee van start zodat een nieuw college en raad daar direct in kunnen worden meegenomen.</w:t>
      </w:r>
    </w:p>
    <w:p w:rsidR="006E79FD" w:rsidRDefault="006E79FD">
      <w:pPr>
        <w:pStyle w:val="Geenafstand"/>
        <w:rPr>
          <w:rFonts w:ascii="Calibri Light" w:hAnsi="Calibri Light"/>
          <w:highlight w:val="yellow"/>
        </w:rPr>
      </w:pPr>
    </w:p>
    <w:p w:rsidR="006E79FD" w:rsidRDefault="006E79FD">
      <w:pPr>
        <w:pStyle w:val="Geenafstand"/>
        <w:rPr>
          <w:rFonts w:ascii="Calibri Light" w:hAnsi="Calibri Light"/>
          <w:highlight w:val="yellow"/>
        </w:rPr>
      </w:pPr>
    </w:p>
    <w:p w:rsidR="006E79FD" w:rsidRDefault="00F03E3D">
      <w:pPr>
        <w:rPr>
          <w:rFonts w:ascii="Calibri Light" w:hAnsi="Calibri Light"/>
          <w:b/>
          <w:i/>
          <w:sz w:val="22"/>
          <w:szCs w:val="22"/>
        </w:rPr>
      </w:pPr>
      <w:r>
        <w:rPr>
          <w:rFonts w:ascii="Calibri Light" w:hAnsi="Calibri Light"/>
          <w:i/>
          <w:sz w:val="22"/>
          <w:szCs w:val="22"/>
        </w:rPr>
        <w:br w:type="page"/>
      </w:r>
      <w:r>
        <w:rPr>
          <w:rFonts w:ascii="Calibri Light" w:hAnsi="Calibri Light"/>
          <w:b/>
          <w:i/>
          <w:sz w:val="22"/>
          <w:szCs w:val="22"/>
        </w:rPr>
        <w:lastRenderedPageBreak/>
        <w:t>Financieel perspectief maart 2018</w:t>
      </w:r>
    </w:p>
    <w:p w:rsidR="006E79FD" w:rsidRDefault="006E79FD">
      <w:pPr>
        <w:pStyle w:val="Geenafstand"/>
        <w:rPr>
          <w:rFonts w:ascii="Calibri Light" w:hAnsi="Calibri Light"/>
          <w:i/>
        </w:rPr>
      </w:pPr>
    </w:p>
    <w:p w:rsidR="006E79FD" w:rsidRDefault="00F03E3D">
      <w:pPr>
        <w:rPr>
          <w:rFonts w:ascii="Calibri Light" w:hAnsi="Calibri Light"/>
          <w:sz w:val="22"/>
          <w:szCs w:val="22"/>
        </w:rPr>
      </w:pPr>
      <w:r>
        <w:rPr>
          <w:noProof/>
        </w:rPr>
        <w:drawing>
          <wp:inline distT="0" distB="0" distL="0" distR="0">
            <wp:extent cx="5759450" cy="2399771"/>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399771"/>
                    </a:xfrm>
                    <a:prstGeom prst="rect">
                      <a:avLst/>
                    </a:prstGeom>
                    <a:noFill/>
                    <a:ln>
                      <a:noFill/>
                    </a:ln>
                  </pic:spPr>
                </pic:pic>
              </a:graphicData>
            </a:graphic>
          </wp:inline>
        </w:drawing>
      </w:r>
    </w:p>
    <w:p w:rsidR="006E79FD" w:rsidRDefault="006E79FD">
      <w:pPr>
        <w:rPr>
          <w:rFonts w:ascii="Calibri Light" w:hAnsi="Calibri Light"/>
          <w:sz w:val="22"/>
          <w:szCs w:val="22"/>
        </w:rPr>
      </w:pPr>
    </w:p>
    <w:p w:rsidR="006E79FD" w:rsidRDefault="00F03E3D">
      <w:pPr>
        <w:rPr>
          <w:rFonts w:ascii="Calibri Light" w:hAnsi="Calibri Light"/>
          <w:sz w:val="22"/>
          <w:szCs w:val="22"/>
        </w:rPr>
      </w:pPr>
      <w:r>
        <w:rPr>
          <w:rFonts w:ascii="Calibri Light" w:hAnsi="Calibri Light"/>
          <w:sz w:val="22"/>
          <w:szCs w:val="22"/>
        </w:rPr>
        <w:t>We zien dat er via de maart circulaire behoorlijk wat middelen richting Oldebroek komen. Qua</w:t>
      </w:r>
      <w:r>
        <w:rPr>
          <w:rFonts w:ascii="Calibri Light" w:hAnsi="Calibri Light"/>
          <w:sz w:val="22"/>
          <w:szCs w:val="22"/>
        </w:rPr>
        <w:t xml:space="preserve"> bedragen loopt het op naar € 2,5 miljoen in 2022. Dit lijkt heel veel, echter we hebben ook forse financiële knelpunten. Bovendien zijn de taken die behoren bij de enveloppe gelden, nog niet gekwantificeerd.</w:t>
      </w:r>
    </w:p>
    <w:p w:rsidR="006E79FD" w:rsidRDefault="006E79FD">
      <w:pPr>
        <w:rPr>
          <w:rFonts w:ascii="Calibri Light" w:hAnsi="Calibri Light"/>
          <w:sz w:val="22"/>
          <w:szCs w:val="22"/>
        </w:rPr>
      </w:pPr>
    </w:p>
    <w:p w:rsidR="006E79FD" w:rsidRDefault="00F03E3D">
      <w:pPr>
        <w:jc w:val="left"/>
        <w:rPr>
          <w:rFonts w:ascii="Calibri Light" w:hAnsi="Calibri Light"/>
          <w:b/>
          <w:sz w:val="22"/>
          <w:szCs w:val="22"/>
        </w:rPr>
      </w:pPr>
      <w:r>
        <w:rPr>
          <w:rFonts w:ascii="Calibri Light" w:hAnsi="Calibri Light"/>
          <w:b/>
          <w:sz w:val="22"/>
          <w:szCs w:val="22"/>
        </w:rPr>
        <w:t>Inschatting verloop weerstandsvermogen</w:t>
      </w:r>
    </w:p>
    <w:p w:rsidR="006E79FD" w:rsidRDefault="006E79FD">
      <w:pPr>
        <w:jc w:val="left"/>
        <w:rPr>
          <w:rFonts w:ascii="Calibri Light" w:hAnsi="Calibri Light"/>
          <w:b/>
          <w:sz w:val="22"/>
          <w:szCs w:val="22"/>
        </w:rPr>
      </w:pPr>
    </w:p>
    <w:p w:rsidR="006E79FD" w:rsidRDefault="00F03E3D">
      <w:pPr>
        <w:jc w:val="left"/>
        <w:rPr>
          <w:rFonts w:ascii="Calibri Light" w:hAnsi="Calibri Light"/>
          <w:sz w:val="22"/>
          <w:szCs w:val="22"/>
        </w:rPr>
      </w:pPr>
      <w:r>
        <w:rPr>
          <w:rFonts w:ascii="Calibri Light" w:hAnsi="Calibri Light"/>
          <w:sz w:val="22"/>
          <w:szCs w:val="22"/>
        </w:rPr>
        <w:t>De gem</w:t>
      </w:r>
      <w:r>
        <w:rPr>
          <w:rFonts w:ascii="Calibri Light" w:hAnsi="Calibri Light"/>
          <w:sz w:val="22"/>
          <w:szCs w:val="22"/>
        </w:rPr>
        <w:t>eenteraad heeft vastgesteld dat het weerstandsvermogen tussen de 1 en de 1,4 moet liggen. In onderstaand overzicht is ingeschat de ontwikkeling weergegeven als we het huidig beleid ongewijzigd voortzetten. We zien dat we fors dalen in het weerstandsvermoge</w:t>
      </w:r>
      <w:r>
        <w:rPr>
          <w:rFonts w:ascii="Calibri Light" w:hAnsi="Calibri Light"/>
          <w:sz w:val="22"/>
          <w:szCs w:val="22"/>
        </w:rPr>
        <w:t>n. Beleid zou er op gericht moeten zijn dat we de daling stabiliseren. We blijven nog wel binnen ratio.</w:t>
      </w:r>
    </w:p>
    <w:p w:rsidR="006E79FD" w:rsidRDefault="006E79FD">
      <w:pPr>
        <w:jc w:val="left"/>
        <w:rPr>
          <w:rFonts w:ascii="Calibri Light" w:hAnsi="Calibri Light"/>
          <w:sz w:val="22"/>
          <w:szCs w:val="22"/>
        </w:rPr>
      </w:pPr>
    </w:p>
    <w:p w:rsidR="006E79FD" w:rsidRDefault="00F03E3D">
      <w:pPr>
        <w:jc w:val="left"/>
        <w:rPr>
          <w:rFonts w:ascii="Calibri Light" w:hAnsi="Calibri Light"/>
          <w:b/>
          <w:sz w:val="22"/>
          <w:szCs w:val="22"/>
        </w:rPr>
      </w:pPr>
      <w:r>
        <w:rPr>
          <w:noProof/>
        </w:rPr>
        <w:drawing>
          <wp:inline distT="0" distB="0" distL="0" distR="0">
            <wp:extent cx="4743450" cy="1021277"/>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765" cy="1023929"/>
                    </a:xfrm>
                    <a:prstGeom prst="rect">
                      <a:avLst/>
                    </a:prstGeom>
                    <a:noFill/>
                    <a:ln>
                      <a:noFill/>
                    </a:ln>
                  </pic:spPr>
                </pic:pic>
              </a:graphicData>
            </a:graphic>
          </wp:inline>
        </w:drawing>
      </w:r>
    </w:p>
    <w:p w:rsidR="006E79FD" w:rsidRDefault="006E79FD">
      <w:pPr>
        <w:jc w:val="left"/>
        <w:rPr>
          <w:rFonts w:ascii="Calibri Light" w:hAnsi="Calibri Light"/>
          <w:sz w:val="22"/>
          <w:szCs w:val="22"/>
        </w:rPr>
      </w:pPr>
    </w:p>
    <w:p w:rsidR="006E79FD" w:rsidRDefault="00F03E3D">
      <w:pPr>
        <w:pStyle w:val="Lijstalinea"/>
        <w:ind w:left="0"/>
        <w:rPr>
          <w:rFonts w:asciiTheme="majorHAnsi" w:hAnsiTheme="majorHAnsi"/>
          <w:b/>
        </w:rPr>
      </w:pPr>
      <w:r>
        <w:rPr>
          <w:rFonts w:asciiTheme="majorHAnsi" w:hAnsiTheme="majorHAnsi"/>
          <w:b/>
        </w:rPr>
        <w:t>Kansen</w:t>
      </w:r>
    </w:p>
    <w:p w:rsidR="006E79FD" w:rsidRDefault="006E79FD">
      <w:pPr>
        <w:pStyle w:val="Lijstalinea"/>
        <w:ind w:left="0"/>
        <w:rPr>
          <w:rFonts w:asciiTheme="majorHAnsi" w:hAnsiTheme="majorHAnsi"/>
          <w:b/>
        </w:rPr>
      </w:pPr>
    </w:p>
    <w:p w:rsidR="006E79FD" w:rsidRDefault="00F03E3D">
      <w:pPr>
        <w:pStyle w:val="Lijstalinea"/>
        <w:numPr>
          <w:ilvl w:val="0"/>
          <w:numId w:val="8"/>
        </w:numPr>
        <w:rPr>
          <w:rFonts w:asciiTheme="majorHAnsi" w:hAnsiTheme="majorHAnsi"/>
        </w:rPr>
      </w:pPr>
      <w:r>
        <w:rPr>
          <w:rFonts w:asciiTheme="majorHAnsi" w:hAnsiTheme="majorHAnsi"/>
        </w:rPr>
        <w:t xml:space="preserve">Verwacht jaarrekeningresultaat 2017 van € 1,2 miljoen incidenteel. Dit is nog prematuur. </w:t>
      </w:r>
    </w:p>
    <w:p w:rsidR="006E79FD" w:rsidRDefault="00F03E3D">
      <w:pPr>
        <w:pStyle w:val="Lijstalinea"/>
        <w:numPr>
          <w:ilvl w:val="0"/>
          <w:numId w:val="8"/>
        </w:numPr>
        <w:rPr>
          <w:rFonts w:asciiTheme="majorHAnsi" w:hAnsiTheme="majorHAnsi"/>
        </w:rPr>
      </w:pPr>
      <w:r>
        <w:rPr>
          <w:rFonts w:asciiTheme="majorHAnsi" w:hAnsiTheme="majorHAnsi"/>
        </w:rPr>
        <w:t>Tot en met 2021 staan er € 4,1 miljoen aan winstne</w:t>
      </w:r>
      <w:r>
        <w:rPr>
          <w:rFonts w:asciiTheme="majorHAnsi" w:hAnsiTheme="majorHAnsi"/>
        </w:rPr>
        <w:t>mingen geraamd. Omdat ook een deel hiervan mogelijk in erfpacht uitgegeven wordt, leidt niet alles per definitie tot een geldstroom. M.a.w. we zullen eerder middelen moeten aantrekken op de kapitaalmarkt bij uitgifte in erfpacht, wat een negatief effect he</w:t>
      </w:r>
      <w:r>
        <w:rPr>
          <w:rFonts w:asciiTheme="majorHAnsi" w:hAnsiTheme="majorHAnsi"/>
        </w:rPr>
        <w:t>eft op onze solvabiliteit.</w:t>
      </w:r>
    </w:p>
    <w:p w:rsidR="006E79FD" w:rsidRDefault="00F03E3D">
      <w:pPr>
        <w:pStyle w:val="Lijstalinea"/>
        <w:numPr>
          <w:ilvl w:val="0"/>
          <w:numId w:val="8"/>
        </w:numPr>
        <w:rPr>
          <w:rFonts w:asciiTheme="majorHAnsi" w:hAnsiTheme="majorHAnsi"/>
        </w:rPr>
      </w:pPr>
      <w:r>
        <w:rPr>
          <w:rFonts w:asciiTheme="majorHAnsi" w:hAnsiTheme="majorHAnsi"/>
        </w:rPr>
        <w:t xml:space="preserve">Bekende toekomstige areaal uitbreidingen over een periode van de uitgifte leidt tot een toename van € 180.000 aan </w:t>
      </w:r>
      <w:proofErr w:type="gramStart"/>
      <w:r>
        <w:rPr>
          <w:rFonts w:asciiTheme="majorHAnsi" w:hAnsiTheme="majorHAnsi"/>
        </w:rPr>
        <w:t>OZB inkomsten</w:t>
      </w:r>
      <w:proofErr w:type="gramEnd"/>
      <w:r>
        <w:rPr>
          <w:rFonts w:asciiTheme="majorHAnsi" w:hAnsiTheme="majorHAnsi"/>
        </w:rPr>
        <w:t>. Uitbreiding van het areaal leidt ook tot een toename van de beheerkosten.</w:t>
      </w:r>
    </w:p>
    <w:p w:rsidR="006E79FD" w:rsidRDefault="00F03E3D">
      <w:pPr>
        <w:pStyle w:val="Lijstalinea"/>
        <w:numPr>
          <w:ilvl w:val="0"/>
          <w:numId w:val="8"/>
        </w:numPr>
        <w:rPr>
          <w:rFonts w:asciiTheme="majorHAnsi" w:hAnsiTheme="majorHAnsi"/>
        </w:rPr>
      </w:pPr>
      <w:r>
        <w:rPr>
          <w:rFonts w:asciiTheme="majorHAnsi" w:hAnsiTheme="majorHAnsi"/>
        </w:rPr>
        <w:t>De ontwikkellocaties van d</w:t>
      </w:r>
      <w:r>
        <w:rPr>
          <w:rFonts w:asciiTheme="majorHAnsi" w:hAnsiTheme="majorHAnsi"/>
        </w:rPr>
        <w:t>e scholen en vrijkomende sportlocaties. Ambtelijk is hier voorzichtig studie naar gedaan. Een en ander moet allemaal nog gepland worden, uitvoering kan pas als schoolverplaatsing gereed is. De studie leidt tot eenmalige opbrengsten. Op dit moment is een be</w:t>
      </w:r>
      <w:r>
        <w:rPr>
          <w:rFonts w:asciiTheme="majorHAnsi" w:hAnsiTheme="majorHAnsi"/>
        </w:rPr>
        <w:t xml:space="preserve">drag benoemen nog prematuur. </w:t>
      </w:r>
    </w:p>
    <w:p w:rsidR="006E79FD" w:rsidRDefault="00F03E3D">
      <w:pPr>
        <w:pStyle w:val="Lijstalinea"/>
        <w:numPr>
          <w:ilvl w:val="0"/>
          <w:numId w:val="8"/>
        </w:numPr>
        <w:rPr>
          <w:rFonts w:asciiTheme="majorHAnsi" w:hAnsiTheme="majorHAnsi"/>
        </w:rPr>
      </w:pPr>
      <w:r>
        <w:rPr>
          <w:rFonts w:asciiTheme="majorHAnsi" w:hAnsiTheme="majorHAnsi"/>
        </w:rPr>
        <w:t>Het rijk stelt zoals zij het zelf benoemen, een stroppenpot in voor de jeugdproblematiek van € 200 miljoen. Het is nog niet bekend wat dit voor gemeente Oldebroek betekend. Ongetwijfeld kan gemeente Oldebroek daar straks aansp</w:t>
      </w:r>
      <w:r>
        <w:rPr>
          <w:rFonts w:asciiTheme="majorHAnsi" w:hAnsiTheme="majorHAnsi"/>
        </w:rPr>
        <w:t>raak op doen.</w:t>
      </w:r>
    </w:p>
    <w:p w:rsidR="006E79FD" w:rsidRDefault="00F03E3D">
      <w:pPr>
        <w:pStyle w:val="Lijstalinea"/>
        <w:numPr>
          <w:ilvl w:val="0"/>
          <w:numId w:val="8"/>
        </w:numPr>
        <w:rPr>
          <w:rFonts w:asciiTheme="majorHAnsi" w:hAnsiTheme="majorHAnsi"/>
        </w:rPr>
      </w:pPr>
      <w:r>
        <w:rPr>
          <w:rFonts w:asciiTheme="majorHAnsi" w:hAnsiTheme="majorHAnsi"/>
        </w:rPr>
        <w:t>Mogelijkheid onderzoeken van verhogen van leges in relatie tot kostendekkendheid en verhoging van de OZB.</w:t>
      </w:r>
    </w:p>
    <w:p w:rsidR="006E79FD" w:rsidRDefault="00F03E3D">
      <w:pPr>
        <w:pStyle w:val="Lijstalinea"/>
        <w:numPr>
          <w:ilvl w:val="0"/>
          <w:numId w:val="8"/>
        </w:numPr>
        <w:rPr>
          <w:rFonts w:asciiTheme="majorHAnsi" w:hAnsiTheme="majorHAnsi"/>
        </w:rPr>
      </w:pPr>
      <w:r>
        <w:rPr>
          <w:rFonts w:asciiTheme="majorHAnsi" w:hAnsiTheme="majorHAnsi"/>
        </w:rPr>
        <w:lastRenderedPageBreak/>
        <w:t>Verdeelmodel jeugd, het ministerie actualiseert het verdeelmodel jeugd. Wij verwachten dat dit een positief effect heeft voor gemeente O</w:t>
      </w:r>
      <w:r>
        <w:rPr>
          <w:rFonts w:asciiTheme="majorHAnsi" w:hAnsiTheme="majorHAnsi"/>
        </w:rPr>
        <w:t>ldebroek, echter kwantificeren kunnen wij dit nu nog niet.</w:t>
      </w:r>
    </w:p>
    <w:p w:rsidR="006E79FD" w:rsidRDefault="00F03E3D">
      <w:pPr>
        <w:pStyle w:val="Lijstalinea"/>
        <w:numPr>
          <w:ilvl w:val="0"/>
          <w:numId w:val="8"/>
        </w:numPr>
        <w:rPr>
          <w:rFonts w:asciiTheme="majorHAnsi" w:hAnsiTheme="majorHAnsi"/>
        </w:rPr>
      </w:pPr>
      <w:r>
        <w:rPr>
          <w:rFonts w:asciiTheme="majorHAnsi" w:hAnsiTheme="majorHAnsi"/>
        </w:rPr>
        <w:t xml:space="preserve">Het onderzoek naar een sluitende meerjarenbegroting willen we starten door een analyse op onze rijksinkomsten in relatie tot de rechtvaardiging van bijbehorende uitgaven. Structurele bezuinigingen </w:t>
      </w:r>
      <w:r>
        <w:rPr>
          <w:rFonts w:asciiTheme="majorHAnsi" w:hAnsiTheme="majorHAnsi"/>
        </w:rPr>
        <w:t>lijken daarbij onvermijdelijk.</w:t>
      </w:r>
    </w:p>
    <w:p w:rsidR="006E79FD" w:rsidRDefault="006E79FD">
      <w:pPr>
        <w:jc w:val="left"/>
        <w:rPr>
          <w:rFonts w:asciiTheme="majorHAnsi" w:hAnsiTheme="majorHAnsi"/>
          <w:sz w:val="22"/>
          <w:szCs w:val="22"/>
        </w:rPr>
      </w:pPr>
    </w:p>
    <w:p w:rsidR="006E79FD" w:rsidRDefault="006E79FD">
      <w:pPr>
        <w:jc w:val="left"/>
        <w:rPr>
          <w:rFonts w:asciiTheme="majorHAnsi" w:hAnsiTheme="majorHAnsi"/>
          <w:sz w:val="22"/>
          <w:szCs w:val="22"/>
        </w:rPr>
      </w:pPr>
    </w:p>
    <w:p w:rsidR="006E79FD" w:rsidRDefault="00F03E3D">
      <w:pPr>
        <w:jc w:val="center"/>
        <w:rPr>
          <w:rFonts w:asciiTheme="majorHAnsi" w:hAnsiTheme="majorHAnsi"/>
          <w:b/>
          <w:sz w:val="22"/>
          <w:szCs w:val="22"/>
        </w:rPr>
      </w:pPr>
      <w:r>
        <w:rPr>
          <w:rFonts w:asciiTheme="majorHAnsi" w:hAnsiTheme="majorHAnsi"/>
          <w:b/>
          <w:sz w:val="22"/>
          <w:szCs w:val="22"/>
        </w:rPr>
        <w:t>*****</w:t>
      </w:r>
    </w:p>
    <w:p w:rsidR="006E79FD" w:rsidRDefault="006E79FD">
      <w:pPr>
        <w:jc w:val="left"/>
        <w:rPr>
          <w:rFonts w:asciiTheme="majorHAnsi" w:hAnsiTheme="majorHAnsi"/>
          <w:sz w:val="22"/>
          <w:szCs w:val="22"/>
        </w:rPr>
      </w:pP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Aanvullend</w:t>
      </w:r>
    </w:p>
    <w:p w:rsidR="006E79FD" w:rsidRDefault="00F03E3D">
      <w:pPr>
        <w:jc w:val="left"/>
        <w:rPr>
          <w:rFonts w:asciiTheme="majorHAnsi" w:hAnsiTheme="majorHAnsi"/>
          <w:sz w:val="22"/>
          <w:szCs w:val="22"/>
        </w:rPr>
      </w:pPr>
      <w:r>
        <w:rPr>
          <w:rFonts w:asciiTheme="majorHAnsi" w:hAnsiTheme="majorHAnsi"/>
          <w:sz w:val="22"/>
          <w:szCs w:val="22"/>
        </w:rPr>
        <w:t xml:space="preserve">Ambtelijk wordt, op verzoek van de informateur, onderstaand een aantal ontwikkelingen aangegeven die bovenstaande financiële uitgangssituatie nadelig beïnvloeden, maar evenwel van belang (kunnen) zijn voor de onderhandelende partijen </w:t>
      </w:r>
      <w:proofErr w:type="spellStart"/>
      <w:r>
        <w:rPr>
          <w:rFonts w:asciiTheme="majorHAnsi" w:hAnsiTheme="majorHAnsi"/>
          <w:sz w:val="22"/>
          <w:szCs w:val="22"/>
        </w:rPr>
        <w:t>tbv</w:t>
      </w:r>
      <w:proofErr w:type="spellEnd"/>
      <w:r>
        <w:rPr>
          <w:rFonts w:asciiTheme="majorHAnsi" w:hAnsiTheme="majorHAnsi"/>
          <w:sz w:val="22"/>
          <w:szCs w:val="22"/>
        </w:rPr>
        <w:t xml:space="preserve"> hun bestuursakkoor</w:t>
      </w:r>
      <w:r>
        <w:rPr>
          <w:rFonts w:asciiTheme="majorHAnsi" w:hAnsiTheme="majorHAnsi"/>
          <w:sz w:val="22"/>
          <w:szCs w:val="22"/>
        </w:rPr>
        <w:t xml:space="preserve">d. Onderstaande weergave is bekend bij het huidige college, dat hierin echter nog geen enkele weging heeft gemaakt. </w:t>
      </w:r>
    </w:p>
    <w:p w:rsidR="006E79FD" w:rsidRDefault="006E79FD">
      <w:pPr>
        <w:jc w:val="left"/>
        <w:rPr>
          <w:rFonts w:asciiTheme="majorHAnsi" w:hAnsiTheme="majorHAnsi"/>
          <w:sz w:val="22"/>
          <w:szCs w:val="22"/>
        </w:rPr>
      </w:pPr>
    </w:p>
    <w:p w:rsidR="006E79FD" w:rsidRDefault="00F03E3D">
      <w:pPr>
        <w:jc w:val="left"/>
        <w:rPr>
          <w:rFonts w:asciiTheme="majorHAnsi" w:hAnsiTheme="majorHAnsi"/>
          <w:sz w:val="22"/>
          <w:szCs w:val="22"/>
        </w:rPr>
      </w:pPr>
      <w:r>
        <w:rPr>
          <w:rFonts w:asciiTheme="majorHAnsi" w:hAnsiTheme="majorHAnsi"/>
          <w:sz w:val="22"/>
          <w:szCs w:val="22"/>
        </w:rPr>
        <w:t xml:space="preserve">Ook voor dit aanvullende onderdeel geldt dat wij ambtelijk kunnen en willen ondersteunen door informatie toe te lichten, vragen te </w:t>
      </w:r>
      <w:r>
        <w:rPr>
          <w:rFonts w:asciiTheme="majorHAnsi" w:hAnsiTheme="majorHAnsi"/>
          <w:sz w:val="22"/>
          <w:szCs w:val="22"/>
        </w:rPr>
        <w:t>beantwoorden en te adviseren over wensen, beelden en onderhandelingsresultaten. In alfabetische volgorde en op hoofdlijnen:</w:t>
      </w: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Bestuurlijke samenwerking</w:t>
      </w:r>
    </w:p>
    <w:p w:rsidR="006E79FD" w:rsidRDefault="00F03E3D">
      <w:pPr>
        <w:jc w:val="left"/>
        <w:rPr>
          <w:rFonts w:asciiTheme="majorHAnsi" w:hAnsiTheme="majorHAnsi"/>
          <w:sz w:val="22"/>
          <w:szCs w:val="22"/>
        </w:rPr>
      </w:pPr>
      <w:r>
        <w:rPr>
          <w:rFonts w:asciiTheme="majorHAnsi" w:hAnsiTheme="majorHAnsi"/>
          <w:sz w:val="22"/>
          <w:szCs w:val="22"/>
        </w:rPr>
        <w:t>Als gemeente Oldebroek hebben we diverse relaties en samenwerkingsverbanden met Verbonden Partijen en oml</w:t>
      </w:r>
      <w:r>
        <w:rPr>
          <w:rFonts w:asciiTheme="majorHAnsi" w:hAnsiTheme="majorHAnsi"/>
          <w:sz w:val="22"/>
          <w:szCs w:val="22"/>
        </w:rPr>
        <w:t>iggende gemeenten. Voortzetting van de huidige samenwerkingsverbanden houdt in dat we niet tornen aan de bestaande afspraken in H2O-verband (Bedrijvenpark, ICT, Uitkeringsadministratie, Inkoop en Bezwaarschriftenadviescommissie), de samenwerking met NEO vo</w:t>
      </w:r>
      <w:r>
        <w:rPr>
          <w:rFonts w:asciiTheme="majorHAnsi" w:hAnsiTheme="majorHAnsi"/>
          <w:sz w:val="22"/>
          <w:szCs w:val="22"/>
        </w:rPr>
        <w:t>ortzetten en door ontwikkelen en de samenwerking in SNV-verband ongewijzigd voortzetten. In de samenwerking met de succesvolle regio Zwolle wordt een hogere bijdrage én steviger participatie van de deelnemers verwacht. We beraden ons op welke wijze en in w</w:t>
      </w:r>
      <w:r>
        <w:rPr>
          <w:rFonts w:asciiTheme="majorHAnsi" w:hAnsiTheme="majorHAnsi"/>
          <w:sz w:val="22"/>
          <w:szCs w:val="22"/>
        </w:rPr>
        <w:t xml:space="preserve">elke clusters we participeren. De verwachte meerkosten voor de regio Zwolle zijn ca € 30.000 structureel. Daarnaast zijn de middelen voor ambtelijke advisering </w:t>
      </w:r>
      <w:proofErr w:type="spellStart"/>
      <w:r>
        <w:rPr>
          <w:rFonts w:asciiTheme="majorHAnsi" w:hAnsiTheme="majorHAnsi"/>
          <w:sz w:val="22"/>
          <w:szCs w:val="22"/>
        </w:rPr>
        <w:t>mbt</w:t>
      </w:r>
      <w:proofErr w:type="spellEnd"/>
      <w:r>
        <w:rPr>
          <w:rFonts w:asciiTheme="majorHAnsi" w:hAnsiTheme="majorHAnsi"/>
          <w:sz w:val="22"/>
          <w:szCs w:val="22"/>
        </w:rPr>
        <w:t xml:space="preserve"> interregionale samenwerking niet structureel begroot.</w:t>
      </w: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Divers</w:t>
      </w:r>
    </w:p>
    <w:p w:rsidR="006E79FD" w:rsidRDefault="00F03E3D">
      <w:pPr>
        <w:jc w:val="left"/>
        <w:rPr>
          <w:rFonts w:asciiTheme="majorHAnsi" w:hAnsiTheme="majorHAnsi"/>
          <w:sz w:val="22"/>
          <w:szCs w:val="22"/>
        </w:rPr>
      </w:pPr>
      <w:r>
        <w:rPr>
          <w:rFonts w:asciiTheme="majorHAnsi" w:hAnsiTheme="majorHAnsi"/>
          <w:sz w:val="22"/>
          <w:szCs w:val="22"/>
        </w:rPr>
        <w:t xml:space="preserve">Het </w:t>
      </w:r>
      <w:proofErr w:type="gramStart"/>
      <w:r>
        <w:rPr>
          <w:rFonts w:asciiTheme="majorHAnsi" w:hAnsiTheme="majorHAnsi"/>
          <w:sz w:val="22"/>
          <w:szCs w:val="22"/>
        </w:rPr>
        <w:t>BTW percentage</w:t>
      </w:r>
      <w:proofErr w:type="gramEnd"/>
      <w:r>
        <w:rPr>
          <w:rFonts w:asciiTheme="majorHAnsi" w:hAnsiTheme="majorHAnsi"/>
          <w:sz w:val="22"/>
          <w:szCs w:val="22"/>
        </w:rPr>
        <w:t xml:space="preserve"> wijzigt van</w:t>
      </w:r>
      <w:r>
        <w:rPr>
          <w:rFonts w:asciiTheme="majorHAnsi" w:hAnsiTheme="majorHAnsi"/>
          <w:sz w:val="22"/>
          <w:szCs w:val="22"/>
        </w:rPr>
        <w:t xml:space="preserve"> 6% naar 9%. We zijn nog in afwachting van actuele informatie maar dit zal een structureel effect hebben. De BTW op vrijstellingen sport gaat vervallen. Het gaat ongeveer om een bedrag van € 120.000. We adviseren dit tenminste mee te nemen bij het risicoma</w:t>
      </w:r>
      <w:r>
        <w:rPr>
          <w:rFonts w:asciiTheme="majorHAnsi" w:hAnsiTheme="majorHAnsi"/>
          <w:sz w:val="22"/>
          <w:szCs w:val="22"/>
        </w:rPr>
        <w:t>nagement. Ook komen er wijzigingen in de wet WOZ per 2021. Berekeningen worden dan uitgevoerd op basis van “oppervlakte” in plaats van “inhoud”. De consequenties hiervan zijn nog niet volledig in beeld, maar we schatten in dat we rekening moeten houden met</w:t>
      </w:r>
      <w:r>
        <w:rPr>
          <w:rFonts w:asciiTheme="majorHAnsi" w:hAnsiTheme="majorHAnsi"/>
          <w:sz w:val="22"/>
          <w:szCs w:val="22"/>
        </w:rPr>
        <w:t xml:space="preserve"> extra kosten voor inzet van formatie en aanpassing van informatisering van ca € 50.000 incidenteel. We kijken naar de mogelijkheden om dit in samenwerking te doen met Nunspeet en Elburg.</w:t>
      </w:r>
    </w:p>
    <w:p w:rsidR="006E79FD" w:rsidRDefault="006E79FD">
      <w:pPr>
        <w:jc w:val="left"/>
        <w:rPr>
          <w:rFonts w:asciiTheme="majorHAnsi" w:hAnsiTheme="majorHAnsi"/>
          <w:sz w:val="22"/>
          <w:szCs w:val="22"/>
        </w:rPr>
      </w:pPr>
    </w:p>
    <w:p w:rsidR="006E79FD" w:rsidRDefault="00F03E3D">
      <w:pPr>
        <w:jc w:val="left"/>
        <w:rPr>
          <w:rFonts w:asciiTheme="majorHAnsi" w:hAnsiTheme="majorHAnsi"/>
          <w:sz w:val="22"/>
          <w:szCs w:val="22"/>
        </w:rPr>
      </w:pPr>
      <w:r>
        <w:rPr>
          <w:rFonts w:asciiTheme="majorHAnsi" w:hAnsiTheme="majorHAnsi"/>
          <w:sz w:val="22"/>
          <w:szCs w:val="22"/>
        </w:rPr>
        <w:t>De formatie voor de behandeling van bezwaarschriften is structureel</w:t>
      </w:r>
      <w:r>
        <w:rPr>
          <w:rFonts w:asciiTheme="majorHAnsi" w:hAnsiTheme="majorHAnsi"/>
          <w:sz w:val="22"/>
          <w:szCs w:val="22"/>
        </w:rPr>
        <w:t xml:space="preserve"> te krap. De capaciteit bedraagt 60 bezwaarschriften en het aantal bezwaarschriften bedraagt 110. Om pieken op te vangen wordt flexibele ruimte gevraagd ter hoogte van € 40.000 structureel.</w:t>
      </w:r>
    </w:p>
    <w:p w:rsidR="006E79FD" w:rsidRDefault="006E79FD">
      <w:pPr>
        <w:jc w:val="left"/>
        <w:rPr>
          <w:rFonts w:asciiTheme="majorHAnsi" w:hAnsiTheme="majorHAnsi"/>
          <w:sz w:val="22"/>
          <w:szCs w:val="22"/>
        </w:rPr>
      </w:pPr>
    </w:p>
    <w:p w:rsidR="006E79FD" w:rsidRDefault="00F03E3D">
      <w:pPr>
        <w:jc w:val="left"/>
        <w:rPr>
          <w:rFonts w:asciiTheme="majorHAnsi" w:hAnsiTheme="majorHAnsi"/>
          <w:sz w:val="22"/>
          <w:szCs w:val="22"/>
        </w:rPr>
      </w:pPr>
      <w:r>
        <w:rPr>
          <w:rFonts w:asciiTheme="majorHAnsi" w:hAnsiTheme="majorHAnsi"/>
          <w:sz w:val="22"/>
          <w:szCs w:val="22"/>
        </w:rPr>
        <w:t>In april 2017 is in de raad afgesproken dat we een speelbeleid en</w:t>
      </w:r>
      <w:r>
        <w:rPr>
          <w:rFonts w:asciiTheme="majorHAnsi" w:hAnsiTheme="majorHAnsi"/>
          <w:sz w:val="22"/>
          <w:szCs w:val="22"/>
        </w:rPr>
        <w:t xml:space="preserve"> beheerplan gaan opstellen. Ondanks dat we een bestaande bestemmingsreserve als startkapitaal kunnen gebruiken, verwachten we een structurele last van ca € 150.000.</w:t>
      </w:r>
    </w:p>
    <w:p w:rsidR="006E79FD" w:rsidRDefault="006E79FD">
      <w:pPr>
        <w:jc w:val="left"/>
        <w:rPr>
          <w:rFonts w:asciiTheme="majorHAnsi" w:hAnsiTheme="majorHAnsi"/>
          <w:sz w:val="22"/>
          <w:szCs w:val="22"/>
        </w:rPr>
      </w:pPr>
    </w:p>
    <w:p w:rsidR="006E79FD" w:rsidRDefault="00F03E3D">
      <w:pPr>
        <w:jc w:val="left"/>
        <w:rPr>
          <w:rFonts w:asciiTheme="majorHAnsi" w:hAnsiTheme="majorHAnsi"/>
          <w:sz w:val="22"/>
          <w:szCs w:val="22"/>
        </w:rPr>
      </w:pPr>
      <w:r>
        <w:rPr>
          <w:rFonts w:asciiTheme="majorHAnsi" w:hAnsiTheme="majorHAnsi"/>
          <w:sz w:val="22"/>
          <w:szCs w:val="22"/>
        </w:rPr>
        <w:t>De aanleg van het fietspad Gelderse gracht (in samenwerking met gemeente Kampen en de prov</w:t>
      </w:r>
      <w:r>
        <w:rPr>
          <w:rFonts w:asciiTheme="majorHAnsi" w:hAnsiTheme="majorHAnsi"/>
          <w:sz w:val="22"/>
          <w:szCs w:val="22"/>
        </w:rPr>
        <w:t>incie) wordt voorzien ad € 150.000 incidenteel voor Oldebroek. Mogelijk kan de reserve recreatie en toerisme hiervoor ingezet worden.</w:t>
      </w: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Informatisering</w:t>
      </w:r>
    </w:p>
    <w:p w:rsidR="006E79FD" w:rsidRDefault="00F03E3D">
      <w:pPr>
        <w:jc w:val="left"/>
        <w:rPr>
          <w:rFonts w:asciiTheme="majorHAnsi" w:hAnsiTheme="majorHAnsi"/>
          <w:sz w:val="22"/>
          <w:szCs w:val="22"/>
        </w:rPr>
      </w:pPr>
      <w:r>
        <w:rPr>
          <w:rFonts w:asciiTheme="majorHAnsi" w:hAnsiTheme="majorHAnsi"/>
          <w:sz w:val="22"/>
          <w:szCs w:val="22"/>
        </w:rPr>
        <w:lastRenderedPageBreak/>
        <w:t>Voor informatieveiligheid en DIV worden de randvoorwaarden en de regelgeving voor beveiliging steeds meer</w:t>
      </w:r>
      <w:r>
        <w:rPr>
          <w:rFonts w:asciiTheme="majorHAnsi" w:hAnsiTheme="majorHAnsi"/>
          <w:sz w:val="22"/>
          <w:szCs w:val="22"/>
        </w:rPr>
        <w:t xml:space="preserve"> aangescherpt. Er moet steeds meer digitaal worden vastgelegd via geüniformeerde standaarden. Wij schatten in dat deze kosten structureel stijgen met ca € 90.000. Digitalisering + de </w:t>
      </w:r>
      <w:proofErr w:type="gramStart"/>
      <w:r>
        <w:rPr>
          <w:rFonts w:asciiTheme="majorHAnsi" w:hAnsiTheme="majorHAnsi"/>
          <w:sz w:val="22"/>
          <w:szCs w:val="22"/>
        </w:rPr>
        <w:t>vorming  van</w:t>
      </w:r>
      <w:proofErr w:type="gramEnd"/>
      <w:r>
        <w:rPr>
          <w:rFonts w:asciiTheme="majorHAnsi" w:hAnsiTheme="majorHAnsi"/>
          <w:sz w:val="22"/>
          <w:szCs w:val="22"/>
        </w:rPr>
        <w:t xml:space="preserve"> een E-depot voor het Streekarchivariaat (een Verbonden Parti</w:t>
      </w:r>
      <w:r>
        <w:rPr>
          <w:rFonts w:asciiTheme="majorHAnsi" w:hAnsiTheme="majorHAnsi"/>
          <w:sz w:val="22"/>
          <w:szCs w:val="22"/>
        </w:rPr>
        <w:t xml:space="preserve">j) vraagt ca € 60.000 structureel. </w:t>
      </w:r>
    </w:p>
    <w:p w:rsidR="006E79FD" w:rsidRDefault="006E79FD">
      <w:pPr>
        <w:jc w:val="left"/>
        <w:rPr>
          <w:rFonts w:asciiTheme="majorHAnsi" w:hAnsiTheme="majorHAnsi"/>
          <w:sz w:val="22"/>
          <w:szCs w:val="22"/>
        </w:rPr>
      </w:pPr>
    </w:p>
    <w:p w:rsidR="006E79FD" w:rsidRDefault="00F03E3D">
      <w:pPr>
        <w:jc w:val="left"/>
        <w:rPr>
          <w:rFonts w:asciiTheme="majorHAnsi" w:hAnsiTheme="majorHAnsi"/>
          <w:sz w:val="22"/>
          <w:szCs w:val="22"/>
        </w:rPr>
      </w:pPr>
      <w:r>
        <w:rPr>
          <w:rFonts w:asciiTheme="majorHAnsi" w:hAnsiTheme="majorHAnsi"/>
          <w:sz w:val="22"/>
          <w:szCs w:val="22"/>
        </w:rPr>
        <w:t>Begin 2018 is duidelijk geworden dat de verdeelsleutel van de ICT-kosten in H2O verband moest worden herzien. Wij schatten het nadeel voor Oldebroek hiervan in op € 80.000 en zijn er nog niet in geslaagd dit bedrag voll</w:t>
      </w:r>
      <w:r>
        <w:rPr>
          <w:rFonts w:asciiTheme="majorHAnsi" w:hAnsiTheme="majorHAnsi"/>
          <w:sz w:val="22"/>
          <w:szCs w:val="22"/>
        </w:rPr>
        <w:t xml:space="preserve">edig via efficiencymaatregelen te compenseren. Daarnaast is er geen budget voor nieuwe </w:t>
      </w:r>
      <w:proofErr w:type="gramStart"/>
      <w:r>
        <w:rPr>
          <w:rFonts w:asciiTheme="majorHAnsi" w:hAnsiTheme="majorHAnsi"/>
          <w:sz w:val="22"/>
          <w:szCs w:val="22"/>
        </w:rPr>
        <w:t>informatiseringruimte  Dit</w:t>
      </w:r>
      <w:proofErr w:type="gramEnd"/>
      <w:r>
        <w:rPr>
          <w:rFonts w:asciiTheme="majorHAnsi" w:hAnsiTheme="majorHAnsi"/>
          <w:sz w:val="22"/>
          <w:szCs w:val="22"/>
        </w:rPr>
        <w:t xml:space="preserve"> budget was ca 140.000 p/j vóór 2018. In 2018 is dit nog ca 70.000. Wij vinden het niet reëel dat hiervoor geen ruimte wordt begroot.</w:t>
      </w: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Inwoneri</w:t>
      </w:r>
      <w:r>
        <w:rPr>
          <w:rFonts w:asciiTheme="majorHAnsi" w:hAnsiTheme="majorHAnsi"/>
          <w:b/>
          <w:sz w:val="22"/>
          <w:szCs w:val="22"/>
        </w:rPr>
        <w:t xml:space="preserve">nitiatieven </w:t>
      </w:r>
      <w:proofErr w:type="spellStart"/>
      <w:r>
        <w:rPr>
          <w:rFonts w:asciiTheme="majorHAnsi" w:hAnsiTheme="majorHAnsi"/>
          <w:b/>
          <w:sz w:val="22"/>
          <w:szCs w:val="22"/>
        </w:rPr>
        <w:t>irt</w:t>
      </w:r>
      <w:proofErr w:type="spellEnd"/>
      <w:r>
        <w:rPr>
          <w:rFonts w:asciiTheme="majorHAnsi" w:hAnsiTheme="majorHAnsi"/>
          <w:b/>
          <w:sz w:val="22"/>
          <w:szCs w:val="22"/>
        </w:rPr>
        <w:t xml:space="preserve"> verbindende democratie</w:t>
      </w:r>
    </w:p>
    <w:p w:rsidR="006E79FD" w:rsidRDefault="00F03E3D">
      <w:pPr>
        <w:jc w:val="left"/>
        <w:rPr>
          <w:rFonts w:asciiTheme="majorHAnsi" w:hAnsiTheme="majorHAnsi"/>
          <w:sz w:val="22"/>
          <w:szCs w:val="22"/>
        </w:rPr>
      </w:pPr>
      <w:r>
        <w:rPr>
          <w:rFonts w:asciiTheme="majorHAnsi" w:hAnsiTheme="majorHAnsi"/>
          <w:sz w:val="22"/>
          <w:szCs w:val="22"/>
        </w:rPr>
        <w:t>Eventuele voortzetting van het OVM-budget is een voorliggende politieke keuze. Gezien de stappen op weg naar de verbindende democratie die we met raadswerkgroep, koersgroep en dorpsgroepen zetten, ligt het ook voor de</w:t>
      </w:r>
      <w:r>
        <w:rPr>
          <w:rFonts w:asciiTheme="majorHAnsi" w:hAnsiTheme="majorHAnsi"/>
          <w:sz w:val="22"/>
          <w:szCs w:val="22"/>
        </w:rPr>
        <w:t xml:space="preserve"> hand dat we beperkt investeren in nieuwe manieren van samenwerken. Bijvoorbeeld in een </w:t>
      </w:r>
      <w:proofErr w:type="spellStart"/>
      <w:r>
        <w:rPr>
          <w:rFonts w:asciiTheme="majorHAnsi" w:hAnsiTheme="majorHAnsi"/>
          <w:sz w:val="22"/>
          <w:szCs w:val="22"/>
        </w:rPr>
        <w:t>digipanel</w:t>
      </w:r>
      <w:proofErr w:type="spellEnd"/>
      <w:r>
        <w:rPr>
          <w:rFonts w:asciiTheme="majorHAnsi" w:hAnsiTheme="majorHAnsi"/>
          <w:sz w:val="22"/>
          <w:szCs w:val="22"/>
        </w:rPr>
        <w:t xml:space="preserve">, software om de samenleving mee te kunnen laten schrijven aan beleidsontwikkeling of ondersteuning te bieden voor </w:t>
      </w:r>
      <w:proofErr w:type="spellStart"/>
      <w:r>
        <w:rPr>
          <w:rFonts w:asciiTheme="majorHAnsi" w:hAnsiTheme="majorHAnsi"/>
          <w:sz w:val="22"/>
          <w:szCs w:val="22"/>
        </w:rPr>
        <w:t>crowdfunding</w:t>
      </w:r>
      <w:proofErr w:type="spellEnd"/>
      <w:r>
        <w:rPr>
          <w:rFonts w:asciiTheme="majorHAnsi" w:hAnsiTheme="majorHAnsi"/>
          <w:sz w:val="22"/>
          <w:szCs w:val="22"/>
        </w:rPr>
        <w:t xml:space="preserve"> bij grootschalige inwonerinitia</w:t>
      </w:r>
      <w:r>
        <w:rPr>
          <w:rFonts w:asciiTheme="majorHAnsi" w:hAnsiTheme="majorHAnsi"/>
          <w:sz w:val="22"/>
          <w:szCs w:val="22"/>
        </w:rPr>
        <w:t>tieven. Dan denken we al snel aan ca € 15.000 structureel.</w:t>
      </w: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Omgevingswet</w:t>
      </w:r>
    </w:p>
    <w:p w:rsidR="006E79FD" w:rsidRDefault="00F03E3D">
      <w:pPr>
        <w:autoSpaceDE w:val="0"/>
        <w:autoSpaceDN w:val="0"/>
        <w:adjustRightInd w:val="0"/>
        <w:jc w:val="left"/>
        <w:rPr>
          <w:rFonts w:asciiTheme="majorHAnsi" w:hAnsiTheme="majorHAnsi" w:cs="Calibri"/>
          <w:sz w:val="22"/>
          <w:szCs w:val="22"/>
        </w:rPr>
      </w:pPr>
      <w:r>
        <w:rPr>
          <w:rFonts w:asciiTheme="majorHAnsi" w:hAnsiTheme="majorHAnsi"/>
          <w:sz w:val="22"/>
          <w:szCs w:val="22"/>
        </w:rPr>
        <w:t xml:space="preserve">Uit een onlangs (maart 2018) verschenen </w:t>
      </w:r>
      <w:proofErr w:type="spellStart"/>
      <w:r>
        <w:rPr>
          <w:rFonts w:asciiTheme="majorHAnsi" w:hAnsiTheme="majorHAnsi"/>
          <w:sz w:val="22"/>
          <w:szCs w:val="22"/>
        </w:rPr>
        <w:t>factsheet</w:t>
      </w:r>
      <w:proofErr w:type="spellEnd"/>
      <w:r>
        <w:rPr>
          <w:rFonts w:asciiTheme="majorHAnsi" w:hAnsiTheme="majorHAnsi"/>
          <w:sz w:val="22"/>
          <w:szCs w:val="22"/>
        </w:rPr>
        <w:t xml:space="preserve"> van de VNG blijkt dat vergelijkbare gemeenten als Oldebroek € &gt;1,8 miljoen moeten reserveren voor de invoering van de omgevingswet. </w:t>
      </w:r>
      <w:r>
        <w:rPr>
          <w:rFonts w:asciiTheme="majorHAnsi" w:hAnsiTheme="majorHAnsi" w:cs="Calibri"/>
          <w:sz w:val="22"/>
          <w:szCs w:val="22"/>
        </w:rPr>
        <w:t>V</w:t>
      </w:r>
      <w:r>
        <w:rPr>
          <w:rFonts w:asciiTheme="majorHAnsi" w:hAnsiTheme="majorHAnsi" w:cs="Calibri"/>
          <w:sz w:val="22"/>
          <w:szCs w:val="22"/>
        </w:rPr>
        <w:t>erdeeld over de begrotingen 2017 en 2018 is een eenmalig projectbudget (2017 € 40.000,- en</w:t>
      </w:r>
    </w:p>
    <w:p w:rsidR="006E79FD" w:rsidRDefault="00F03E3D">
      <w:pPr>
        <w:autoSpaceDE w:val="0"/>
        <w:autoSpaceDN w:val="0"/>
        <w:adjustRightInd w:val="0"/>
        <w:jc w:val="left"/>
        <w:rPr>
          <w:rFonts w:asciiTheme="majorHAnsi" w:hAnsiTheme="majorHAnsi"/>
          <w:sz w:val="22"/>
          <w:szCs w:val="22"/>
        </w:rPr>
      </w:pPr>
      <w:r>
        <w:rPr>
          <w:rFonts w:asciiTheme="majorHAnsi" w:hAnsiTheme="majorHAnsi" w:cs="Calibri"/>
          <w:sz w:val="22"/>
          <w:szCs w:val="22"/>
        </w:rPr>
        <w:t>2018 € 80.000,-) voor de invoering van de Omgevingswet beschikbaar gesteld. Aanvullend is bij de begroting 2018 eenmalig</w:t>
      </w:r>
      <w:r>
        <w:rPr>
          <w:rFonts w:asciiTheme="majorHAnsi" w:hAnsiTheme="majorHAnsi"/>
          <w:sz w:val="22"/>
          <w:szCs w:val="22"/>
        </w:rPr>
        <w:t xml:space="preserve"> € 100.000 begroot. Keuzes hierin zijn groten</w:t>
      </w:r>
      <w:r>
        <w:rPr>
          <w:rFonts w:asciiTheme="majorHAnsi" w:hAnsiTheme="majorHAnsi"/>
          <w:sz w:val="22"/>
          <w:szCs w:val="22"/>
        </w:rPr>
        <w:t>deels politiek en komen nog naar de raad toe. Echter, de omgevingswet kent enkele ICT opgaven, waaronder de invoering van het digitale stelsel omgevingswet (DSO) waarvoor formatie en informatisering nodig is. We kunnen hiermee niet wachten aangezien we ver</w:t>
      </w:r>
      <w:r>
        <w:rPr>
          <w:rFonts w:asciiTheme="majorHAnsi" w:hAnsiTheme="majorHAnsi"/>
          <w:sz w:val="22"/>
          <w:szCs w:val="22"/>
        </w:rPr>
        <w:t>plicht zijn deze software in 2021 te hebben draaien. Bovendien willen we het DSO met 4 andere gemeenten (NEO/H2O) samen oppakken. Er is na een voorzichtige inschatting een budget nodig ter hoogte van € 60.000. € 30.000 voor 2019 en € 30.000 voor 2020. Over</w:t>
      </w:r>
      <w:r>
        <w:rPr>
          <w:rFonts w:asciiTheme="majorHAnsi" w:hAnsiTheme="majorHAnsi"/>
          <w:sz w:val="22"/>
          <w:szCs w:val="22"/>
        </w:rPr>
        <w:t xml:space="preserve">igens maken we vermoedelijk in 2018 ook al kosten hiervoor die dan bij </w:t>
      </w:r>
      <w:proofErr w:type="spellStart"/>
      <w:r>
        <w:rPr>
          <w:rFonts w:asciiTheme="majorHAnsi" w:hAnsiTheme="majorHAnsi"/>
          <w:sz w:val="22"/>
          <w:szCs w:val="22"/>
        </w:rPr>
        <w:t>berap</w:t>
      </w:r>
      <w:proofErr w:type="spellEnd"/>
      <w:r>
        <w:rPr>
          <w:rFonts w:asciiTheme="majorHAnsi" w:hAnsiTheme="majorHAnsi"/>
          <w:sz w:val="22"/>
          <w:szCs w:val="22"/>
        </w:rPr>
        <w:t xml:space="preserve"> en/of jaarrekening 2018 verantwoord zullen worden. Over structurele effecten is nog onvoldoende bekend.</w:t>
      </w: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Onderwijs</w:t>
      </w:r>
    </w:p>
    <w:p w:rsidR="006E79FD" w:rsidRDefault="00F03E3D">
      <w:pPr>
        <w:jc w:val="left"/>
        <w:rPr>
          <w:rFonts w:asciiTheme="majorHAnsi" w:hAnsiTheme="majorHAnsi"/>
          <w:sz w:val="22"/>
          <w:szCs w:val="22"/>
        </w:rPr>
      </w:pPr>
      <w:r>
        <w:rPr>
          <w:rFonts w:asciiTheme="majorHAnsi" w:hAnsiTheme="majorHAnsi"/>
          <w:sz w:val="22"/>
          <w:szCs w:val="22"/>
        </w:rPr>
        <w:t xml:space="preserve">We verwachten ca € 175.000 aan kosten voor het plein De Rank – Agnieten College en de aftakking vanaf de </w:t>
      </w:r>
      <w:proofErr w:type="spellStart"/>
      <w:r>
        <w:rPr>
          <w:rFonts w:asciiTheme="majorHAnsi" w:hAnsiTheme="majorHAnsi"/>
          <w:sz w:val="22"/>
          <w:szCs w:val="22"/>
        </w:rPr>
        <w:t>Noordsingel</w:t>
      </w:r>
      <w:proofErr w:type="spellEnd"/>
      <w:r>
        <w:rPr>
          <w:rFonts w:asciiTheme="majorHAnsi" w:hAnsiTheme="majorHAnsi"/>
          <w:sz w:val="22"/>
          <w:szCs w:val="22"/>
        </w:rPr>
        <w:t xml:space="preserve"> naar de parkeerplaatsen. Deze lasten worden gekapitaliseerd en kunnen gedekt worden vanuit de reserve onderwijshuisvesting. We willen voors</w:t>
      </w:r>
      <w:r>
        <w:rPr>
          <w:rFonts w:asciiTheme="majorHAnsi" w:hAnsiTheme="majorHAnsi"/>
          <w:sz w:val="22"/>
          <w:szCs w:val="22"/>
        </w:rPr>
        <w:t>tellen te komen tot 55 parkeerplaatsen voor het IKC Zuidwest, de scholen leggen er zelf 13 aan. Deze lasten ad € 70.000c worden gekapitaliseerd en kunnen vermoedelijk gedekt worden vanuit de reserve onderwijshuisvesting.</w:t>
      </w:r>
    </w:p>
    <w:p w:rsidR="006E79FD" w:rsidRDefault="006E79FD">
      <w:pPr>
        <w:jc w:val="left"/>
        <w:rPr>
          <w:rFonts w:asciiTheme="majorHAnsi" w:hAnsiTheme="majorHAnsi"/>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Sociaal Domein</w:t>
      </w:r>
    </w:p>
    <w:p w:rsidR="006E79FD" w:rsidRDefault="00F03E3D">
      <w:pPr>
        <w:jc w:val="left"/>
        <w:rPr>
          <w:rFonts w:asciiTheme="majorHAnsi" w:hAnsiTheme="majorHAnsi"/>
          <w:sz w:val="22"/>
          <w:szCs w:val="22"/>
        </w:rPr>
      </w:pPr>
      <w:r>
        <w:rPr>
          <w:rFonts w:asciiTheme="majorHAnsi" w:hAnsiTheme="majorHAnsi"/>
          <w:sz w:val="22"/>
          <w:szCs w:val="22"/>
        </w:rPr>
        <w:t>De evaluatie van so</w:t>
      </w:r>
      <w:r>
        <w:rPr>
          <w:rFonts w:asciiTheme="majorHAnsi" w:hAnsiTheme="majorHAnsi"/>
          <w:sz w:val="22"/>
          <w:szCs w:val="22"/>
        </w:rPr>
        <w:t>ciaal beleid leidt tot aangepast beleid op het gebied van WMO, Jeugd en Participatie. Dit kan betekenen dat het verstandig is extra te investeren, bijvoorbeeld om op termijn structureel uitgaven te kunnen beperken. Zeker voor de jeugdzorg lijkt inzetten op</w:t>
      </w:r>
      <w:r>
        <w:rPr>
          <w:rFonts w:asciiTheme="majorHAnsi" w:hAnsiTheme="majorHAnsi"/>
          <w:sz w:val="22"/>
          <w:szCs w:val="22"/>
        </w:rPr>
        <w:t xml:space="preserve"> voorkomen dringend gewenst. Preventieve maatregelen kunnen incidentele en structurele lasten met zich meebrengen maar zijn op dit moment nog niet te kwantificeren. Op onderdelen wel. Voorzetten van buurtpreventie (Krachtstroom) is bijvoorbeeld niet struct</w:t>
      </w:r>
      <w:r>
        <w:rPr>
          <w:rFonts w:asciiTheme="majorHAnsi" w:hAnsiTheme="majorHAnsi"/>
          <w:sz w:val="22"/>
          <w:szCs w:val="22"/>
        </w:rPr>
        <w:t xml:space="preserve">ureel in onze </w:t>
      </w:r>
      <w:proofErr w:type="gramStart"/>
      <w:r>
        <w:rPr>
          <w:rFonts w:asciiTheme="majorHAnsi" w:hAnsiTheme="majorHAnsi"/>
          <w:sz w:val="22"/>
          <w:szCs w:val="22"/>
        </w:rPr>
        <w:t>begroting  opgenomen</w:t>
      </w:r>
      <w:proofErr w:type="gramEnd"/>
      <w:r>
        <w:rPr>
          <w:rFonts w:asciiTheme="majorHAnsi" w:hAnsiTheme="majorHAnsi"/>
          <w:sz w:val="22"/>
          <w:szCs w:val="22"/>
        </w:rPr>
        <w:t xml:space="preserve"> maar vraagt al ca € 50.000 per jaar.</w:t>
      </w:r>
    </w:p>
    <w:p w:rsidR="006E79FD" w:rsidRDefault="006E79FD">
      <w:pPr>
        <w:jc w:val="left"/>
        <w:rPr>
          <w:rFonts w:asciiTheme="majorHAnsi" w:hAnsiTheme="majorHAnsi"/>
          <w:sz w:val="22"/>
          <w:szCs w:val="22"/>
        </w:rPr>
      </w:pPr>
    </w:p>
    <w:p w:rsidR="006E79FD" w:rsidRDefault="00F03E3D">
      <w:pPr>
        <w:jc w:val="left"/>
        <w:rPr>
          <w:rFonts w:asciiTheme="majorHAnsi" w:hAnsiTheme="majorHAnsi"/>
          <w:sz w:val="22"/>
          <w:szCs w:val="22"/>
        </w:rPr>
      </w:pPr>
      <w:r>
        <w:rPr>
          <w:rFonts w:asciiTheme="majorHAnsi" w:hAnsiTheme="majorHAnsi"/>
          <w:sz w:val="22"/>
          <w:szCs w:val="22"/>
        </w:rPr>
        <w:t>Er is dringende behoefte aan een structurele uitbreiding van formatie van het Sociaal Team. Sinds 2015 zijn er ook extra taken bijgekomen op het gebied van bijvoorbeeld mantelzorg, de</w:t>
      </w:r>
      <w:r>
        <w:rPr>
          <w:rFonts w:asciiTheme="majorHAnsi" w:hAnsiTheme="majorHAnsi"/>
          <w:sz w:val="22"/>
          <w:szCs w:val="22"/>
        </w:rPr>
        <w:t xml:space="preserve">mentie, jongeren en statushouders. Vanuit het rijk wordt een nieuwe aanpak voorgeschreven voor personen met verward gedrag waardoor er een noodzaak is voor inzet van personele capaciteit. De zwaarte van de problematiek die bij de gemeente op het bord komt </w:t>
      </w:r>
      <w:r>
        <w:rPr>
          <w:rFonts w:asciiTheme="majorHAnsi" w:hAnsiTheme="majorHAnsi"/>
          <w:sz w:val="22"/>
          <w:szCs w:val="22"/>
        </w:rPr>
        <w:t xml:space="preserve">neemt toe. Daarnaast is het aantal klanten van Werk en Inkomen sterk toegenomen in een aantal jaren. De beschikbare formatie is niet structureel </w:t>
      </w:r>
      <w:r>
        <w:rPr>
          <w:rFonts w:asciiTheme="majorHAnsi" w:hAnsiTheme="majorHAnsi"/>
          <w:sz w:val="22"/>
          <w:szCs w:val="22"/>
        </w:rPr>
        <w:lastRenderedPageBreak/>
        <w:t>meegegroeid. De laatste jaren is met projecten geprobeerd hier voor een deel in te voorzien (o.a. Aan de slag e</w:t>
      </w:r>
      <w:r>
        <w:rPr>
          <w:rFonts w:asciiTheme="majorHAnsi" w:hAnsiTheme="majorHAnsi"/>
          <w:sz w:val="22"/>
          <w:szCs w:val="22"/>
        </w:rPr>
        <w:t>n Statushouders). Deze projecten lopen af per 1 januari 2019. Ook draagt tijdelijke inzet niet bij aan een structurele kwaliteitstoename en stabiliteit in het team. Wij schatten in dat € 500.000 structureel nodig is.</w:t>
      </w:r>
    </w:p>
    <w:p w:rsidR="006E79FD" w:rsidRDefault="006E79FD">
      <w:pPr>
        <w:jc w:val="left"/>
        <w:rPr>
          <w:rFonts w:asciiTheme="majorHAnsi" w:hAnsiTheme="majorHAnsi"/>
          <w:b/>
          <w:sz w:val="22"/>
          <w:szCs w:val="22"/>
        </w:rPr>
      </w:pPr>
    </w:p>
    <w:p w:rsidR="006E79FD" w:rsidRDefault="00F03E3D">
      <w:pPr>
        <w:jc w:val="left"/>
        <w:rPr>
          <w:rFonts w:asciiTheme="majorHAnsi" w:hAnsiTheme="majorHAnsi"/>
          <w:b/>
          <w:sz w:val="22"/>
          <w:szCs w:val="22"/>
        </w:rPr>
      </w:pPr>
      <w:r>
        <w:rPr>
          <w:rFonts w:asciiTheme="majorHAnsi" w:hAnsiTheme="majorHAnsi"/>
          <w:b/>
          <w:sz w:val="22"/>
          <w:szCs w:val="22"/>
        </w:rPr>
        <w:t>Veiligheid</w:t>
      </w:r>
    </w:p>
    <w:p w:rsidR="006E79FD" w:rsidRDefault="00F03E3D">
      <w:pPr>
        <w:jc w:val="left"/>
        <w:rPr>
          <w:rFonts w:asciiTheme="majorHAnsi" w:hAnsiTheme="majorHAnsi"/>
        </w:rPr>
      </w:pPr>
      <w:r>
        <w:rPr>
          <w:rFonts w:asciiTheme="majorHAnsi" w:hAnsiTheme="majorHAnsi"/>
          <w:sz w:val="22"/>
          <w:szCs w:val="22"/>
        </w:rPr>
        <w:t>In onze huidige brandweerka</w:t>
      </w:r>
      <w:r>
        <w:rPr>
          <w:rFonts w:asciiTheme="majorHAnsi" w:hAnsiTheme="majorHAnsi"/>
          <w:sz w:val="22"/>
          <w:szCs w:val="22"/>
        </w:rPr>
        <w:t>zerne in Oldebroek is een dermate hoge onderhoudsinvestering nodig dat alternatieve huisvesting wordt onderzocht. De financiële effecten lijken uit te komen op ca € 60.000 structureel.</w:t>
      </w:r>
      <w:r>
        <w:rPr>
          <w:rFonts w:asciiTheme="majorHAnsi" w:hAnsiTheme="majorHAnsi"/>
        </w:rPr>
        <w:t xml:space="preserve"> </w:t>
      </w:r>
    </w:p>
    <w:p w:rsidR="006E79FD" w:rsidRDefault="006E79FD">
      <w:pPr>
        <w:jc w:val="left"/>
        <w:rPr>
          <w:rFonts w:asciiTheme="majorHAnsi" w:hAnsiTheme="majorHAnsi"/>
        </w:rPr>
      </w:pPr>
    </w:p>
    <w:p w:rsidR="006E79FD" w:rsidRDefault="00F03E3D">
      <w:pPr>
        <w:jc w:val="left"/>
        <w:rPr>
          <w:rFonts w:asciiTheme="majorHAnsi" w:hAnsiTheme="majorHAnsi"/>
          <w:sz w:val="22"/>
          <w:szCs w:val="22"/>
        </w:rPr>
      </w:pPr>
      <w:r>
        <w:rPr>
          <w:rFonts w:asciiTheme="majorHAnsi" w:hAnsiTheme="majorHAnsi"/>
          <w:sz w:val="22"/>
          <w:szCs w:val="22"/>
        </w:rPr>
        <w:t>Eind 2018 of begin 2019 hebben we onze lokale ondermijningsbeelden co</w:t>
      </w:r>
      <w:r>
        <w:rPr>
          <w:rFonts w:asciiTheme="majorHAnsi" w:hAnsiTheme="majorHAnsi"/>
          <w:sz w:val="22"/>
          <w:szCs w:val="22"/>
        </w:rPr>
        <w:t>mpleet, daarna moeten we bekijken hoeveel tijd en middelen we hiermee verwachten kwijt te zijn. Ten aanzien van de aanpak van drugs is nog niet goed in te schatten hoe deze aanpak eruit gaat zien. Dat wordt in de loop van 2018 duidelijker, maar ook hier is</w:t>
      </w:r>
      <w:r>
        <w:rPr>
          <w:rFonts w:asciiTheme="majorHAnsi" w:hAnsiTheme="majorHAnsi"/>
          <w:sz w:val="22"/>
          <w:szCs w:val="22"/>
        </w:rPr>
        <w:t xml:space="preserve"> het te verwachten dat een andere aanpak met meerkosten gepaard gaat.</w:t>
      </w:r>
    </w:p>
    <w:p w:rsidR="006E79FD" w:rsidRDefault="006E79FD">
      <w:pPr>
        <w:jc w:val="left"/>
        <w:rPr>
          <w:rFonts w:asciiTheme="majorHAnsi" w:hAnsiTheme="majorHAnsi"/>
          <w:sz w:val="22"/>
          <w:szCs w:val="22"/>
        </w:rPr>
      </w:pPr>
    </w:p>
    <w:sectPr w:rsidR="006E79FD">
      <w:headerReference w:type="default" r:id="rId10"/>
      <w:type w:val="continuous"/>
      <w:pgSz w:w="11906" w:h="16838" w:code="9"/>
      <w:pgMar w:top="1134" w:right="1418" w:bottom="567" w:left="1418" w:header="567" w:footer="284" w:gutter="0"/>
      <w:paperSrc w:first="11" w:other="1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3D" w:rsidRDefault="00F03E3D">
      <w:r>
        <w:separator/>
      </w:r>
    </w:p>
  </w:endnote>
  <w:endnote w:type="continuationSeparator" w:id="0">
    <w:p w:rsidR="00F03E3D" w:rsidRDefault="00F0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3D" w:rsidRDefault="00F03E3D">
      <w:r>
        <w:separator/>
      </w:r>
    </w:p>
  </w:footnote>
  <w:footnote w:type="continuationSeparator" w:id="0">
    <w:p w:rsidR="00F03E3D" w:rsidRDefault="00F0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FD" w:rsidRDefault="00F03E3D">
    <w:pPr>
      <w:tabs>
        <w:tab w:val="left" w:pos="1985"/>
      </w:tabs>
      <w:rPr>
        <w:sz w:val="2"/>
      </w:rPr>
    </w:pPr>
    <w:r>
      <w:rPr>
        <w:noProof/>
      </w:rPr>
      <w:drawing>
        <wp:anchor distT="0" distB="0" distL="114300" distR="114300" simplePos="0" relativeHeight="251657728" behindDoc="0" locked="0" layoutInCell="1" allowOverlap="0">
          <wp:simplePos x="0" y="0"/>
          <wp:positionH relativeFrom="margin">
            <wp:posOffset>-95250</wp:posOffset>
          </wp:positionH>
          <wp:positionV relativeFrom="margin">
            <wp:posOffset>-504825</wp:posOffset>
          </wp:positionV>
          <wp:extent cx="962025" cy="1019175"/>
          <wp:effectExtent l="0" t="0" r="9525" b="9525"/>
          <wp:wrapSquare wrapText="bothSides"/>
          <wp:docPr id="1" name="Afbeelding 1" descr="wa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52"/>
        <w:szCs w:val="80"/>
      </w:rPr>
      <w:t xml:space="preserve"> </w:t>
    </w:r>
    <w:r>
      <w:rPr>
        <w:rFonts w:ascii="Arial" w:hAnsi="Arial" w:cs="Arial"/>
        <w:sz w:val="52"/>
        <w:szCs w:val="80"/>
      </w:rPr>
      <w:tab/>
      <w:t>GEMEENTE OLDEBROEK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FD" w:rsidRDefault="00F03E3D">
    <w:pPr>
      <w:pStyle w:val="Koptekst"/>
      <w:jc w:val="center"/>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923CF4">
      <w:rPr>
        <w:rStyle w:val="Paginanummer"/>
        <w:noProof/>
      </w:rPr>
      <w:t>5</w:t>
    </w:r>
    <w:r>
      <w:rPr>
        <w:rStyle w:val="Paginanummer"/>
      </w:rPr>
      <w:fldChar w:fldCharType="end"/>
    </w:r>
    <w:r>
      <w:rPr>
        <w:rStyle w:val="Paginanumm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859"/>
    <w:multiLevelType w:val="hybridMultilevel"/>
    <w:tmpl w:val="DABCF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15202B"/>
    <w:multiLevelType w:val="hybridMultilevel"/>
    <w:tmpl w:val="B832FCE6"/>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2" w15:restartNumberingAfterBreak="0">
    <w:nsid w:val="318E56CF"/>
    <w:multiLevelType w:val="hybridMultilevel"/>
    <w:tmpl w:val="F476EE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CF77066"/>
    <w:multiLevelType w:val="hybridMultilevel"/>
    <w:tmpl w:val="A65A44F6"/>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5950256F"/>
    <w:multiLevelType w:val="hybridMultilevel"/>
    <w:tmpl w:val="BE344BA8"/>
    <w:lvl w:ilvl="0" w:tplc="22B87966">
      <w:start w:val="1"/>
      <w:numFmt w:val="bullet"/>
      <w:pStyle w:val="InspringStreepje"/>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93340C"/>
    <w:multiLevelType w:val="hybridMultilevel"/>
    <w:tmpl w:val="CC58F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AC3A57"/>
    <w:multiLevelType w:val="hybridMultilevel"/>
    <w:tmpl w:val="BA389EC8"/>
    <w:lvl w:ilvl="0" w:tplc="F0A80B22">
      <w:start w:val="1"/>
      <w:numFmt w:val="decimal"/>
      <w:pStyle w:val="InspringNumm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1"/>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FD"/>
    <w:rsid w:val="006E79FD"/>
    <w:rsid w:val="00923CF4"/>
    <w:rsid w:val="00F03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0D6310-E82E-4CB6-BD50-6F4A3A00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jc w:val="both"/>
    </w:pPr>
    <w:rPr>
      <w:sz w:val="23"/>
    </w:rPr>
  </w:style>
  <w:style w:type="paragraph" w:styleId="Kop1">
    <w:name w:val="heading 1"/>
    <w:basedOn w:val="Standaard"/>
    <w:next w:val="Standaard"/>
    <w:qFormat/>
    <w:pPr>
      <w:keepNext/>
      <w:spacing w:before="200" w:after="200"/>
      <w:outlineLvl w:val="0"/>
    </w:pPr>
    <w:rPr>
      <w:rFonts w:cs="Arial"/>
      <w:b/>
      <w:bCs/>
      <w:kern w:val="23"/>
      <w:szCs w:val="32"/>
    </w:rPr>
  </w:style>
  <w:style w:type="paragraph" w:styleId="Kop2">
    <w:name w:val="heading 2"/>
    <w:basedOn w:val="Standaard"/>
    <w:next w:val="Standaard"/>
    <w:qFormat/>
    <w:pPr>
      <w:keepNext/>
      <w:outlineLvl w:val="1"/>
    </w:pPr>
    <w:rPr>
      <w:rFonts w:cs="Arial"/>
      <w:bCs/>
      <w:iCs/>
      <w:szCs w:val="28"/>
      <w:u w:val="single"/>
    </w:rPr>
  </w:style>
  <w:style w:type="paragraph" w:styleId="Kop3">
    <w:name w:val="heading 3"/>
    <w:basedOn w:val="Standaard"/>
    <w:next w:val="Standaard"/>
    <w:qFormat/>
    <w:pPr>
      <w:keepNext/>
      <w:outlineLvl w:val="2"/>
    </w:pPr>
    <w:rPr>
      <w:rFonts w:cs="Arial"/>
      <w:bCs/>
      <w:i/>
      <w:szCs w:val="26"/>
    </w:rPr>
  </w:style>
  <w:style w:type="paragraph" w:styleId="Kop4">
    <w:name w:val="heading 4"/>
    <w:basedOn w:val="Standaard"/>
    <w:next w:val="Standaard"/>
    <w:qFormat/>
    <w:pPr>
      <w:keepNext/>
      <w:tabs>
        <w:tab w:val="right" w:pos="1276"/>
      </w:tabs>
      <w:jc w:val="center"/>
      <w:outlineLvl w:val="3"/>
    </w:pPr>
    <w:rPr>
      <w:b/>
      <w:bCs/>
      <w:sz w:val="40"/>
    </w:rPr>
  </w:style>
  <w:style w:type="paragraph" w:styleId="Kop5">
    <w:name w:val="heading 5"/>
    <w:basedOn w:val="Standaard"/>
    <w:next w:val="Standaard"/>
    <w:qFormat/>
    <w:pPr>
      <w:keepNext/>
      <w:keepLines/>
      <w:autoSpaceDE w:val="0"/>
      <w:autoSpaceDN w:val="0"/>
      <w:adjustRightInd w:val="0"/>
      <w:spacing w:line="240" w:lineRule="atLeast"/>
      <w:outlineLvl w:val="4"/>
    </w:pPr>
    <w:rPr>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widowControl w:val="0"/>
      <w:tabs>
        <w:tab w:val="left" w:pos="426"/>
      </w:tabs>
      <w:autoSpaceDE w:val="0"/>
      <w:autoSpaceDN w:val="0"/>
      <w:adjustRightInd w:val="0"/>
      <w:ind w:left="426" w:hanging="426"/>
    </w:pPr>
    <w:rPr>
      <w:szCs w:val="24"/>
    </w:rPr>
  </w:style>
  <w:style w:type="paragraph" w:styleId="Koptekst">
    <w:name w:val="header"/>
    <w:basedOn w:val="Standaard"/>
    <w:semiHidden/>
    <w:pPr>
      <w:tabs>
        <w:tab w:val="center" w:pos="4536"/>
        <w:tab w:val="right" w:pos="9072"/>
      </w:tabs>
    </w:pPr>
    <w:rPr>
      <w:sz w:val="20"/>
    </w:rPr>
  </w:style>
  <w:style w:type="paragraph" w:styleId="Voettekst">
    <w:name w:val="footer"/>
    <w:basedOn w:val="Standaard"/>
    <w:semiHidden/>
    <w:pPr>
      <w:tabs>
        <w:tab w:val="center" w:pos="4536"/>
        <w:tab w:val="right" w:pos="9072"/>
      </w:tabs>
    </w:pPr>
    <w:rPr>
      <w:sz w:val="20"/>
    </w:rPr>
  </w:style>
  <w:style w:type="paragraph" w:customStyle="1" w:styleId="InspringStreepje">
    <w:name w:val="InspringStreepje"/>
    <w:basedOn w:val="Standaard"/>
    <w:pPr>
      <w:numPr>
        <w:numId w:val="1"/>
      </w:numPr>
    </w:pPr>
  </w:style>
  <w:style w:type="paragraph" w:customStyle="1" w:styleId="InspringNummer">
    <w:name w:val="InspringNummer"/>
    <w:basedOn w:val="Standaard"/>
    <w:pPr>
      <w:numPr>
        <w:numId w:val="2"/>
      </w:numPr>
    </w:pPr>
  </w:style>
  <w:style w:type="paragraph" w:styleId="Inhopg1">
    <w:name w:val="toc 1"/>
    <w:basedOn w:val="Standaard"/>
    <w:next w:val="Standaard"/>
    <w:autoRedefine/>
    <w:semiHidden/>
    <w:rPr>
      <w:b/>
    </w:rPr>
  </w:style>
  <w:style w:type="paragraph" w:styleId="Inhopg2">
    <w:name w:val="toc 2"/>
    <w:basedOn w:val="Standaard"/>
    <w:next w:val="Standaard"/>
    <w:autoRedefine/>
    <w:semiHidden/>
    <w:pPr>
      <w:ind w:left="230"/>
    </w:pPr>
  </w:style>
  <w:style w:type="paragraph" w:styleId="Inhopg3">
    <w:name w:val="toc 3"/>
    <w:basedOn w:val="Standaard"/>
    <w:next w:val="Standaard"/>
    <w:autoRedefine/>
    <w:semiHidden/>
    <w:pPr>
      <w:ind w:left="460"/>
    </w:pPr>
    <w:rPr>
      <w:i/>
    </w:rPr>
  </w:style>
  <w:style w:type="character" w:styleId="Paginanummer">
    <w:name w:val="page number"/>
    <w:basedOn w:val="Standaardalinea-lettertype"/>
    <w:semiHidden/>
  </w:style>
  <w:style w:type="table" w:styleId="Tabelraster">
    <w:name w:val="Table Grid"/>
    <w:basedOn w:val="Standaardtabe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jc w:val="left"/>
    </w:pPr>
    <w:rPr>
      <w:rFonts w:ascii="Calibri" w:eastAsia="Calibri" w:hAnsi="Calibri"/>
      <w:sz w:val="22"/>
      <w:szCs w:val="22"/>
      <w:lang w:eastAsia="en-US"/>
    </w:rPr>
  </w:style>
  <w:style w:type="paragraph" w:styleId="Geenafstand">
    <w:name w:val="No Spacing"/>
    <w:uiPriority w:val="1"/>
    <w:qFormat/>
    <w:rPr>
      <w:rFonts w:ascii="Calibri" w:eastAsia="Calibri" w:hAnsi="Calibri"/>
      <w:sz w:val="22"/>
      <w:szCs w:val="22"/>
      <w:lang w:eastAsia="en-US"/>
    </w:rPr>
  </w:style>
  <w:style w:type="paragraph" w:styleId="Ballontekst">
    <w:name w:val="Balloon Text"/>
    <w:basedOn w:val="Standaard"/>
    <w:link w:val="BallontekstChar"/>
    <w:uiPriority w:val="99"/>
    <w:semiHidden/>
    <w:unhideWhenUsed/>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9317">
      <w:bodyDiv w:val="1"/>
      <w:marLeft w:val="0"/>
      <w:marRight w:val="0"/>
      <w:marTop w:val="0"/>
      <w:marBottom w:val="0"/>
      <w:divBdr>
        <w:top w:val="none" w:sz="0" w:space="0" w:color="auto"/>
        <w:left w:val="none" w:sz="0" w:space="0" w:color="auto"/>
        <w:bottom w:val="none" w:sz="0" w:space="0" w:color="auto"/>
        <w:right w:val="none" w:sz="0" w:space="0" w:color="auto"/>
      </w:divBdr>
    </w:div>
    <w:div w:id="1636830577">
      <w:bodyDiv w:val="1"/>
      <w:marLeft w:val="0"/>
      <w:marRight w:val="0"/>
      <w:marTop w:val="0"/>
      <w:marBottom w:val="0"/>
      <w:divBdr>
        <w:top w:val="none" w:sz="0" w:space="0" w:color="auto"/>
        <w:left w:val="none" w:sz="0" w:space="0" w:color="auto"/>
        <w:bottom w:val="none" w:sz="0" w:space="0" w:color="auto"/>
        <w:right w:val="none" w:sz="0" w:space="0" w:color="auto"/>
      </w:divBdr>
    </w:div>
    <w:div w:id="1643925079">
      <w:bodyDiv w:val="1"/>
      <w:marLeft w:val="0"/>
      <w:marRight w:val="0"/>
      <w:marTop w:val="0"/>
      <w:marBottom w:val="0"/>
      <w:divBdr>
        <w:top w:val="none" w:sz="0" w:space="0" w:color="auto"/>
        <w:left w:val="none" w:sz="0" w:space="0" w:color="auto"/>
        <w:bottom w:val="none" w:sz="0" w:space="0" w:color="auto"/>
        <w:right w:val="none" w:sz="0" w:space="0" w:color="auto"/>
      </w:divBdr>
    </w:div>
    <w:div w:id="1669793878">
      <w:bodyDiv w:val="1"/>
      <w:marLeft w:val="0"/>
      <w:marRight w:val="0"/>
      <w:marTop w:val="0"/>
      <w:marBottom w:val="0"/>
      <w:divBdr>
        <w:top w:val="none" w:sz="0" w:space="0" w:color="auto"/>
        <w:left w:val="none" w:sz="0" w:space="0" w:color="auto"/>
        <w:bottom w:val="none" w:sz="0" w:space="0" w:color="auto"/>
        <w:right w:val="none" w:sz="0" w:space="0" w:color="auto"/>
      </w:divBdr>
    </w:div>
    <w:div w:id="1879393155">
      <w:bodyDiv w:val="1"/>
      <w:marLeft w:val="0"/>
      <w:marRight w:val="0"/>
      <w:marTop w:val="0"/>
      <w:marBottom w:val="0"/>
      <w:divBdr>
        <w:top w:val="none" w:sz="0" w:space="0" w:color="auto"/>
        <w:left w:val="none" w:sz="0" w:space="0" w:color="auto"/>
        <w:bottom w:val="none" w:sz="0" w:space="0" w:color="auto"/>
        <w:right w:val="none" w:sz="0" w:space="0" w:color="auto"/>
      </w:divBdr>
    </w:div>
    <w:div w:id="1923564066">
      <w:bodyDiv w:val="1"/>
      <w:marLeft w:val="0"/>
      <w:marRight w:val="0"/>
      <w:marTop w:val="0"/>
      <w:marBottom w:val="0"/>
      <w:divBdr>
        <w:top w:val="none" w:sz="0" w:space="0" w:color="auto"/>
        <w:left w:val="none" w:sz="0" w:space="0" w:color="auto"/>
        <w:bottom w:val="none" w:sz="0" w:space="0" w:color="auto"/>
        <w:right w:val="none" w:sz="0" w:space="0" w:color="auto"/>
      </w:divBdr>
    </w:div>
    <w:div w:id="2043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11199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Memo</vt:lpstr>
    </vt:vector>
  </TitlesOfParts>
  <Company>Gemeente Oldebroek</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Arnaud Velthoen</dc:creator>
  <cp:keywords/>
  <cp:lastModifiedBy>Henk van Bergeijk</cp:lastModifiedBy>
  <cp:revision>2</cp:revision>
  <cp:lastPrinted>2018-03-29T07:27:00Z</cp:lastPrinted>
  <dcterms:created xsi:type="dcterms:W3CDTF">2018-04-17T17:28:00Z</dcterms:created>
  <dcterms:modified xsi:type="dcterms:W3CDTF">2018-04-17T17:28:00Z</dcterms:modified>
</cp:coreProperties>
</file>